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郑州经济技术开发区</w:t>
      </w:r>
    </w:p>
    <w:p>
      <w:pPr>
        <w:jc w:val="center"/>
        <w:rPr>
          <w:rFonts w:hint="eastAsia" w:ascii="黑体" w:hAnsi="黑体" w:eastAsia="黑体" w:cs="黑体"/>
          <w:b/>
          <w:bCs/>
          <w:sz w:val="32"/>
          <w:szCs w:val="32"/>
          <w:lang w:eastAsia="zh-CN"/>
        </w:rPr>
      </w:pPr>
      <w:r>
        <w:rPr>
          <w:rFonts w:hint="eastAsia" w:ascii="黑体" w:hAnsi="黑体" w:eastAsia="黑体" w:cs="黑体"/>
          <w:b/>
          <w:bCs/>
          <w:sz w:val="36"/>
          <w:szCs w:val="36"/>
          <w:lang w:eastAsia="zh-CN"/>
        </w:rPr>
        <w:t>政府投资项目评审管理办法（暂行）</w:t>
      </w:r>
    </w:p>
    <w:p>
      <w:pPr>
        <w:jc w:val="center"/>
        <w:rPr>
          <w:rFonts w:hint="eastAsia" w:asciiTheme="minorEastAsia" w:hAnsiTheme="minorEastAsia" w:cstheme="minorEastAsia"/>
          <w:sz w:val="30"/>
          <w:szCs w:val="30"/>
          <w:lang w:eastAsia="zh-CN"/>
        </w:rPr>
      </w:pPr>
      <w:r>
        <w:rPr>
          <w:rFonts w:hint="eastAsia" w:asciiTheme="minorEastAsia" w:hAnsiTheme="minorEastAsia" w:cstheme="minorEastAsia"/>
          <w:sz w:val="30"/>
          <w:szCs w:val="30"/>
          <w:lang w:eastAsia="zh-CN"/>
        </w:rPr>
        <w:t>（征求意见</w:t>
      </w:r>
      <w:r>
        <w:rPr>
          <w:rFonts w:hint="eastAsia" w:asciiTheme="minorEastAsia" w:hAnsiTheme="minorEastAsia" w:cstheme="minorEastAsia"/>
          <w:sz w:val="30"/>
          <w:szCs w:val="30"/>
          <w:lang w:val="en-US" w:eastAsia="zh-CN"/>
        </w:rPr>
        <w:t>稿</w:t>
      </w:r>
      <w:r>
        <w:rPr>
          <w:rFonts w:hint="eastAsia" w:asciiTheme="minorEastAsia" w:hAnsiTheme="minorEastAsia" w:cstheme="minorEastAsia"/>
          <w:sz w:val="30"/>
          <w:szCs w:val="30"/>
          <w:lang w:eastAsia="zh-CN"/>
        </w:rPr>
        <w:t>）</w:t>
      </w:r>
    </w:p>
    <w:p>
      <w:pPr>
        <w:numPr>
          <w:ilvl w:val="0"/>
          <w:numId w:val="0"/>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第一章  总 则</w:t>
      </w:r>
    </w:p>
    <w:p>
      <w:pPr>
        <w:numPr>
          <w:ilvl w:val="0"/>
          <w:numId w:val="0"/>
        </w:numPr>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第一条</w:t>
      </w:r>
      <w:r>
        <w:rPr>
          <w:rFonts w:hint="eastAsia" w:asciiTheme="minorEastAsia" w:hAnsiTheme="minorEastAsia" w:cstheme="minorEastAsia"/>
          <w:sz w:val="32"/>
          <w:szCs w:val="32"/>
          <w:lang w:val="en-US" w:eastAsia="zh-CN"/>
        </w:rPr>
        <w:t xml:space="preserve"> </w:t>
      </w:r>
      <w:r>
        <w:rPr>
          <w:rFonts w:hint="eastAsia" w:ascii="仿宋" w:hAnsi="仿宋" w:eastAsia="仿宋" w:cs="仿宋"/>
          <w:sz w:val="32"/>
          <w:szCs w:val="32"/>
          <w:lang w:val="en-US" w:eastAsia="zh-CN"/>
        </w:rPr>
        <w:t>为加强政府投资项目财政财务管理，优化财政资源配置，提高资金使用效益，规范财政评审工作，根据国家有关法律法规和制度规定，结合我区实际，制定本办法。</w:t>
      </w:r>
    </w:p>
    <w:p>
      <w:pPr>
        <w:numPr>
          <w:ilvl w:val="0"/>
          <w:numId w:val="0"/>
        </w:numPr>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第二条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财政投资评审，是指财政部门依据法律法规和规章，运用专业技术手段，</w:t>
      </w:r>
      <w:r>
        <w:rPr>
          <w:rFonts w:hint="eastAsia" w:ascii="仿宋" w:hAnsi="仿宋" w:eastAsia="仿宋" w:cs="仿宋"/>
          <w:b w:val="0"/>
          <w:bCs w:val="0"/>
          <w:color w:val="000000" w:themeColor="text1"/>
          <w:sz w:val="32"/>
          <w:szCs w:val="32"/>
          <w:lang w:val="en-US" w:eastAsia="zh-CN"/>
          <w14:textFill>
            <w14:solidFill>
              <w14:schemeClr w14:val="tx1"/>
            </w14:solidFill>
          </w14:textFill>
        </w:rPr>
        <w:t>从工程经济和财政财务管理</w:t>
      </w:r>
      <w:r>
        <w:rPr>
          <w:rFonts w:hint="eastAsia" w:ascii="仿宋" w:hAnsi="仿宋" w:eastAsia="仿宋" w:cs="仿宋"/>
          <w:b w:val="0"/>
          <w:bCs w:val="0"/>
          <w:sz w:val="32"/>
          <w:szCs w:val="32"/>
          <w:lang w:val="en-US" w:eastAsia="zh-CN"/>
        </w:rPr>
        <w:t>方面，对政府投资项目资金安排、使用进行审查和评</w:t>
      </w:r>
      <w:r>
        <w:rPr>
          <w:rFonts w:hint="eastAsia" w:ascii="仿宋" w:hAnsi="仿宋" w:eastAsia="仿宋" w:cs="仿宋"/>
          <w:sz w:val="32"/>
          <w:szCs w:val="32"/>
          <w:lang w:val="en-US" w:eastAsia="zh-CN"/>
        </w:rPr>
        <w:t>价的财政管理活动。财政评审是财政职能的重要组成部分，是财政资金规范、安全、有效使用的基本保证。</w:t>
      </w:r>
    </w:p>
    <w:p>
      <w:pPr>
        <w:numPr>
          <w:ilvl w:val="0"/>
          <w:numId w:val="0"/>
        </w:numPr>
        <w:ind w:firstLine="643" w:firstLineChars="200"/>
        <w:jc w:val="both"/>
        <w:rPr>
          <w:rFonts w:hint="eastAsia" w:ascii="仿宋" w:hAnsi="仿宋" w:eastAsia="仿宋" w:cs="仿宋"/>
          <w:b w:val="0"/>
          <w:bCs w:val="0"/>
          <w:sz w:val="30"/>
          <w:szCs w:val="30"/>
          <w:lang w:val="en-US" w:eastAsia="zh-CN"/>
        </w:rPr>
      </w:pPr>
      <w:r>
        <w:rPr>
          <w:rFonts w:hint="eastAsia" w:ascii="黑体" w:hAnsi="黑体" w:eastAsia="黑体" w:cs="黑体"/>
          <w:b/>
          <w:bCs/>
          <w:sz w:val="32"/>
          <w:szCs w:val="32"/>
          <w:lang w:val="en-US"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本办法所称</w:t>
      </w:r>
      <w:r>
        <w:rPr>
          <w:rFonts w:hint="eastAsia" w:ascii="仿宋" w:hAnsi="仿宋" w:eastAsia="仿宋" w:cs="仿宋"/>
          <w:b w:val="0"/>
          <w:bCs w:val="0"/>
          <w:sz w:val="30"/>
          <w:szCs w:val="30"/>
          <w:lang w:val="en-US" w:eastAsia="zh-CN"/>
        </w:rPr>
        <w:t>政府投资项目</w:t>
      </w:r>
      <w:r>
        <w:rPr>
          <w:rFonts w:hint="eastAsia" w:ascii="仿宋" w:hAnsi="仿宋" w:eastAsia="仿宋" w:cs="仿宋"/>
          <w:b w:val="0"/>
          <w:bCs w:val="0"/>
          <w:sz w:val="32"/>
          <w:szCs w:val="32"/>
          <w:lang w:val="en-US" w:eastAsia="zh-CN"/>
        </w:rPr>
        <w:t>是指</w:t>
      </w:r>
      <w:r>
        <w:rPr>
          <w:rFonts w:hint="eastAsia" w:ascii="仿宋" w:hAnsi="仿宋" w:eastAsia="仿宋" w:cs="仿宋"/>
          <w:b w:val="0"/>
          <w:bCs w:val="0"/>
          <w:sz w:val="30"/>
          <w:szCs w:val="30"/>
          <w:lang w:val="en-US" w:eastAsia="zh-CN"/>
        </w:rPr>
        <w:t>使用财政性资金实施管理的项目，包括使用本级一般公共预算资金、政府性基金预算资金、上级专项补助资金以及其他纳入本级财政管理的债务资金。</w:t>
      </w:r>
    </w:p>
    <w:p>
      <w:pPr>
        <w:numPr>
          <w:ilvl w:val="0"/>
          <w:numId w:val="0"/>
        </w:numPr>
        <w:ind w:left="13" w:leftChars="6" w:firstLine="595" w:firstLineChars="186"/>
        <w:jc w:val="both"/>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本办法所称项目包括工程建设项目和非工程建设项目</w:t>
      </w:r>
      <w:r>
        <w:rPr>
          <w:rFonts w:hint="eastAsia" w:ascii="仿宋" w:hAnsi="仿宋" w:eastAsia="仿宋" w:cs="仿宋"/>
          <w:sz w:val="32"/>
          <w:szCs w:val="32"/>
          <w:lang w:val="en-US" w:eastAsia="zh-CN"/>
        </w:rPr>
        <w:t>。</w:t>
      </w:r>
    </w:p>
    <w:p>
      <w:pPr>
        <w:numPr>
          <w:ilvl w:val="0"/>
          <w:numId w:val="0"/>
        </w:numPr>
        <w:ind w:left="13" w:leftChars="6" w:firstLine="598" w:firstLineChars="186"/>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第四条</w:t>
      </w:r>
      <w:r>
        <w:rPr>
          <w:rFonts w:hint="eastAsia" w:ascii="仿宋" w:hAnsi="仿宋" w:eastAsia="仿宋" w:cs="仿宋"/>
          <w:sz w:val="32"/>
          <w:szCs w:val="32"/>
          <w:lang w:val="en-US" w:eastAsia="zh-CN"/>
        </w:rPr>
        <w:t xml:space="preserve"> 财政部门在开展政府投资项目评审时，应当严格遵循合法、公正、客观等原则，并对评审结论及意见负责。</w:t>
      </w:r>
    </w:p>
    <w:p>
      <w:pPr>
        <w:pStyle w:val="2"/>
        <w:pageBreakBefore w:val="0"/>
        <w:widowControl/>
        <w:kinsoku/>
        <w:wordWrap/>
        <w:overflowPunct/>
        <w:topLinePunct w:val="0"/>
        <w:autoSpaceDE/>
        <w:autoSpaceDN/>
        <w:bidi w:val="0"/>
        <w:adjustRightInd/>
        <w:snapToGrid/>
        <w:spacing w:after="0" w:line="560" w:lineRule="exact"/>
        <w:ind w:right="0"/>
        <w:jc w:val="center"/>
        <w:textAlignment w:val="auto"/>
        <w:rPr>
          <w:rFonts w:hint="eastAsia" w:ascii="黑体" w:hAnsi="黑体" w:eastAsia="黑体" w:cs="黑体"/>
          <w:b/>
          <w:bCs/>
          <w:color w:val="auto"/>
          <w:kern w:val="2"/>
          <w:sz w:val="32"/>
          <w:szCs w:val="32"/>
          <w:lang w:val="en-US" w:eastAsia="zh-CN" w:bidi="ar-SA"/>
        </w:rPr>
      </w:pPr>
    </w:p>
    <w:p>
      <w:pPr>
        <w:pStyle w:val="2"/>
        <w:pageBreakBefore w:val="0"/>
        <w:widowControl/>
        <w:kinsoku/>
        <w:wordWrap/>
        <w:overflowPunct/>
        <w:topLinePunct w:val="0"/>
        <w:autoSpaceDE/>
        <w:autoSpaceDN/>
        <w:bidi w:val="0"/>
        <w:adjustRightInd/>
        <w:snapToGrid/>
        <w:spacing w:after="0" w:line="560" w:lineRule="exact"/>
        <w:ind w:right="0"/>
        <w:jc w:val="center"/>
        <w:textAlignment w:val="auto"/>
        <w:rPr>
          <w:rFonts w:hint="eastAsia" w:ascii="黑体" w:hAnsi="黑体" w:eastAsia="黑体" w:cs="黑体"/>
          <w:sz w:val="32"/>
          <w:szCs w:val="32"/>
          <w:lang w:val="en-US" w:eastAsia="zh-CN"/>
        </w:rPr>
      </w:pPr>
      <w:r>
        <w:rPr>
          <w:rFonts w:hint="eastAsia" w:ascii="黑体" w:hAnsi="黑体" w:eastAsia="黑体" w:cs="黑体"/>
          <w:b/>
          <w:bCs/>
          <w:color w:val="auto"/>
          <w:kern w:val="2"/>
          <w:sz w:val="32"/>
          <w:szCs w:val="32"/>
          <w:lang w:val="en-US" w:eastAsia="zh-CN" w:bidi="ar-SA"/>
        </w:rPr>
        <w:t>第二章工作职责</w:t>
      </w:r>
    </w:p>
    <w:p>
      <w:pPr>
        <w:pageBreakBefore w:val="0"/>
        <w:widowControl/>
        <w:kinsoku/>
        <w:wordWrap/>
        <w:overflowPunct/>
        <w:topLinePunct w:val="0"/>
        <w:autoSpaceDE/>
        <w:autoSpaceDN/>
        <w:bidi w:val="0"/>
        <w:adjustRightInd/>
        <w:snapToGrid/>
        <w:spacing w:after="0" w:line="560" w:lineRule="exact"/>
        <w:ind w:leftChars="0" w:right="0" w:firstLine="643" w:firstLineChars="200"/>
        <w:jc w:val="both"/>
        <w:textAlignment w:val="auto"/>
        <w:rPr>
          <w:rFonts w:hint="eastAsia" w:ascii="黑体" w:hAnsi="黑体" w:eastAsia="黑体" w:cs="黑体"/>
          <w:b/>
          <w:bCs/>
          <w:sz w:val="32"/>
          <w:szCs w:val="32"/>
          <w:lang w:val="en-US" w:eastAsia="zh-CN"/>
        </w:rPr>
      </w:pPr>
    </w:p>
    <w:p>
      <w:pPr>
        <w:pageBreakBefore w:val="0"/>
        <w:widowControl/>
        <w:kinsoku/>
        <w:wordWrap/>
        <w:overflowPunct/>
        <w:topLinePunct w:val="0"/>
        <w:autoSpaceDE/>
        <w:autoSpaceDN/>
        <w:bidi w:val="0"/>
        <w:adjustRightInd/>
        <w:snapToGrid/>
        <w:spacing w:after="0" w:line="560" w:lineRule="exact"/>
        <w:ind w:leftChars="0" w:right="0" w:firstLine="643" w:firstLineChars="200"/>
        <w:jc w:val="both"/>
        <w:textAlignment w:val="auto"/>
        <w:rPr>
          <w:rFonts w:hint="eastAsia" w:ascii="仿宋" w:hAnsi="仿宋" w:eastAsia="仿宋" w:cs="仿宋"/>
          <w:color w:val="auto"/>
          <w:sz w:val="32"/>
          <w:szCs w:val="32"/>
        </w:rPr>
      </w:pPr>
      <w:r>
        <w:rPr>
          <w:rFonts w:hint="eastAsia" w:ascii="黑体" w:hAnsi="黑体" w:eastAsia="黑体" w:cs="黑体"/>
          <w:b/>
          <w:bCs/>
          <w:sz w:val="32"/>
          <w:szCs w:val="32"/>
          <w:lang w:val="en-US" w:eastAsia="zh-CN"/>
        </w:rPr>
        <w:t>第五条</w:t>
      </w:r>
      <w:r>
        <w:rPr>
          <w:rFonts w:hint="eastAsia" w:ascii="仿宋" w:hAnsi="仿宋" w:eastAsia="仿宋" w:cs="仿宋"/>
          <w:color w:val="auto"/>
          <w:sz w:val="32"/>
          <w:szCs w:val="32"/>
        </w:rPr>
        <w:t>财政部门职责</w:t>
      </w:r>
      <w:r>
        <w:rPr>
          <w:rFonts w:hint="eastAsia" w:ascii="仿宋" w:hAnsi="仿宋" w:eastAsia="仿宋" w:cs="仿宋"/>
          <w:color w:val="auto"/>
          <w:sz w:val="32"/>
          <w:szCs w:val="32"/>
        </w:rPr>
        <w:drawing>
          <wp:inline distT="0" distB="0" distL="114300" distR="114300">
            <wp:extent cx="27305" cy="100330"/>
            <wp:effectExtent l="0" t="0" r="10795" b="1270"/>
            <wp:docPr id="4" name="图片 1"/>
            <wp:cNvGraphicFramePr/>
            <a:graphic xmlns:a="http://schemas.openxmlformats.org/drawingml/2006/main">
              <a:graphicData uri="http://schemas.openxmlformats.org/drawingml/2006/picture">
                <pic:pic xmlns:pic="http://schemas.openxmlformats.org/drawingml/2006/picture">
                  <pic:nvPicPr>
                    <pic:cNvPr id="4" name="图片 1"/>
                    <pic:cNvPicPr/>
                  </pic:nvPicPr>
                  <pic:blipFill>
                    <a:blip r:embed="rId8"/>
                    <a:stretch>
                      <a:fillRect/>
                    </a:stretch>
                  </pic:blipFill>
                  <pic:spPr>
                    <a:xfrm>
                      <a:off x="0" y="0"/>
                      <a:ext cx="27305" cy="100330"/>
                    </a:xfrm>
                    <a:prstGeom prst="rect">
                      <a:avLst/>
                    </a:prstGeom>
                    <a:noFill/>
                    <a:ln>
                      <a:noFill/>
                    </a:ln>
                  </pic:spPr>
                </pic:pic>
              </a:graphicData>
            </a:graphic>
          </wp:inline>
        </w:drawing>
      </w:r>
    </w:p>
    <w:p>
      <w:pPr>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制定政府投资建设项目评审管理规章制度、业务规范和操作流程</w:t>
      </w:r>
      <w:r>
        <w:rPr>
          <w:rFonts w:hint="eastAsia" w:ascii="仿宋" w:hAnsi="仿宋" w:eastAsia="仿宋" w:cs="仿宋"/>
          <w:color w:val="auto"/>
          <w:sz w:val="32"/>
          <w:szCs w:val="32"/>
          <w:lang w:eastAsia="zh-CN"/>
        </w:rPr>
        <w:t>。</w:t>
      </w:r>
    </w:p>
    <w:p>
      <w:pPr>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负责协调政府投资建设项目评审工作中与</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主管部门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建设单位</w:t>
      </w:r>
      <w:bookmarkStart w:id="0" w:name="_GoBack"/>
      <w:bookmarkEnd w:id="0"/>
      <w:r>
        <w:rPr>
          <w:rFonts w:hint="eastAsia" w:ascii="仿宋" w:hAnsi="仿宋" w:eastAsia="仿宋" w:cs="仿宋"/>
          <w:color w:val="auto"/>
          <w:sz w:val="32"/>
          <w:szCs w:val="32"/>
        </w:rPr>
        <w:t>等方面的关系</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负责政府投资建设项目评审业务，并提供决策依据和建议。</w:t>
      </w:r>
    </w:p>
    <w:p>
      <w:pPr>
        <w:keepNext w:val="0"/>
        <w:keepLines w:val="0"/>
        <w:pageBreakBefore w:val="0"/>
        <w:widowControl/>
        <w:kinsoku/>
        <w:wordWrap/>
        <w:overflowPunct/>
        <w:topLinePunct w:val="0"/>
        <w:autoSpaceDE/>
        <w:autoSpaceDN/>
        <w:bidi w:val="0"/>
        <w:adjustRightInd/>
        <w:snapToGrid/>
        <w:spacing w:after="0" w:line="560" w:lineRule="exact"/>
        <w:ind w:leftChars="0" w:right="0" w:firstLine="643" w:firstLineChars="200"/>
        <w:jc w:val="both"/>
        <w:textAlignment w:val="auto"/>
        <w:rPr>
          <w:rFonts w:hint="eastAsia" w:ascii="仿宋" w:hAnsi="仿宋" w:eastAsia="仿宋" w:cs="仿宋"/>
          <w:color w:val="auto"/>
          <w:sz w:val="32"/>
          <w:szCs w:val="32"/>
        </w:rPr>
      </w:pPr>
      <w:r>
        <w:rPr>
          <w:rFonts w:hint="eastAsia" w:ascii="黑体" w:hAnsi="黑体" w:eastAsia="黑体" w:cs="黑体"/>
          <w:b/>
          <w:bCs/>
          <w:sz w:val="32"/>
          <w:szCs w:val="32"/>
          <w:lang w:val="en-US" w:eastAsia="zh-CN"/>
        </w:rPr>
        <w:t>第六条</w:t>
      </w:r>
      <w:r>
        <w:rPr>
          <w:rFonts w:hint="eastAsia" w:ascii="仿宋" w:hAnsi="仿宋" w:eastAsia="仿宋" w:cs="仿宋"/>
          <w:color w:val="auto"/>
          <w:sz w:val="32"/>
          <w:szCs w:val="32"/>
        </w:rPr>
        <w:t>项目主管部门职责：</w:t>
      </w:r>
    </w:p>
    <w:p>
      <w:pPr>
        <w:keepNext w:val="0"/>
        <w:keepLines w:val="0"/>
        <w:pageBreakBefore w:val="0"/>
        <w:widowControl/>
        <w:numPr>
          <w:ilvl w:val="0"/>
          <w:numId w:val="0"/>
        </w:numPr>
        <w:tabs>
          <w:tab w:val="left" w:pos="2716"/>
        </w:tabs>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eastAsia="zh-CN"/>
        </w:rPr>
        <w:t>（一）</w:t>
      </w:r>
      <w:r>
        <w:rPr>
          <w:rFonts w:hint="eastAsia" w:ascii="仿宋" w:hAnsi="仿宋" w:eastAsia="仿宋" w:cs="仿宋"/>
          <w:b w:val="0"/>
          <w:bCs w:val="0"/>
          <w:color w:val="auto"/>
          <w:sz w:val="32"/>
          <w:szCs w:val="32"/>
        </w:rPr>
        <w:t>审核</w:t>
      </w:r>
      <w:r>
        <w:rPr>
          <w:rFonts w:hint="eastAsia" w:ascii="仿宋" w:hAnsi="仿宋" w:eastAsia="仿宋" w:cs="仿宋"/>
          <w:b w:val="0"/>
          <w:bCs w:val="0"/>
          <w:color w:val="auto"/>
          <w:sz w:val="32"/>
          <w:szCs w:val="32"/>
          <w:lang w:eastAsia="zh-CN"/>
        </w:rPr>
        <w:t>建设</w:t>
      </w:r>
      <w:r>
        <w:rPr>
          <w:rFonts w:hint="eastAsia" w:ascii="仿宋" w:hAnsi="仿宋" w:eastAsia="仿宋" w:cs="仿宋"/>
          <w:b w:val="0"/>
          <w:bCs w:val="0"/>
          <w:color w:val="auto"/>
          <w:sz w:val="32"/>
          <w:szCs w:val="32"/>
        </w:rPr>
        <w:t>单位申报项目的必要性、可行性</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合法性</w:t>
      </w:r>
      <w:r>
        <w:rPr>
          <w:rFonts w:hint="eastAsia" w:ascii="仿宋" w:hAnsi="仿宋" w:eastAsia="仿宋" w:cs="仿宋"/>
          <w:b w:val="0"/>
          <w:bCs w:val="0"/>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及时通知</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单位配合财政部门开展工作</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对财政部门出具的部门预算项目初步评审意见，及时反馈意见或建议</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eastAsia="zh-CN"/>
        </w:rPr>
        <w:t>（四）</w:t>
      </w:r>
      <w:r>
        <w:rPr>
          <w:rFonts w:hint="eastAsia" w:ascii="仿宋" w:hAnsi="仿宋" w:eastAsia="仿宋" w:cs="仿宋"/>
          <w:b w:val="0"/>
          <w:bCs w:val="0"/>
          <w:sz w:val="30"/>
          <w:szCs w:val="30"/>
          <w:lang w:val="en-US" w:eastAsia="zh-CN"/>
        </w:rPr>
        <w:t>审核监督建设单位按照《中华人民共和国政府采购法实施条例》第二十八条规定实施工程项目的采购</w:t>
      </w:r>
      <w:r>
        <w:rPr>
          <w:rFonts w:hint="eastAsia" w:ascii="仿宋" w:hAnsi="仿宋" w:eastAsia="仿宋" w:cs="仿宋"/>
          <w:b w:val="0"/>
          <w:bCs w:val="0"/>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根据财政部门评审结论，督促</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单位执行和整改</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审核财政部门评审范围以外的政府投资建设项目竣工结算和财务决算。</w:t>
      </w:r>
    </w:p>
    <w:p>
      <w:pPr>
        <w:keepNext w:val="0"/>
        <w:keepLines w:val="0"/>
        <w:pageBreakBefore w:val="0"/>
        <w:widowControl/>
        <w:kinsoku/>
        <w:wordWrap/>
        <w:overflowPunct/>
        <w:topLinePunct w:val="0"/>
        <w:autoSpaceDE/>
        <w:autoSpaceDN/>
        <w:bidi w:val="0"/>
        <w:adjustRightInd/>
        <w:snapToGrid/>
        <w:spacing w:after="0" w:line="560" w:lineRule="exact"/>
        <w:ind w:leftChars="0" w:right="0" w:firstLine="643" w:firstLineChars="200"/>
        <w:jc w:val="both"/>
        <w:textAlignment w:val="auto"/>
        <w:rPr>
          <w:rFonts w:hint="eastAsia" w:ascii="仿宋" w:hAnsi="仿宋" w:eastAsia="仿宋" w:cs="仿宋"/>
          <w:color w:val="auto"/>
          <w:sz w:val="32"/>
          <w:szCs w:val="32"/>
        </w:rPr>
      </w:pPr>
      <w:r>
        <w:rPr>
          <w:rFonts w:hint="eastAsia" w:ascii="黑体" w:hAnsi="黑体" w:eastAsia="黑体" w:cs="黑体"/>
          <w:b/>
          <w:bCs/>
          <w:sz w:val="32"/>
          <w:szCs w:val="32"/>
          <w:lang w:val="en-US" w:eastAsia="zh-CN"/>
        </w:rPr>
        <w:t>第七条</w:t>
      </w:r>
      <w:r>
        <w:rPr>
          <w:rFonts w:hint="eastAsia" w:ascii="仿宋" w:hAnsi="仿宋" w:eastAsia="仿宋" w:cs="仿宋"/>
          <w:b w:val="0"/>
          <w:bCs w:val="0"/>
          <w:sz w:val="32"/>
          <w:szCs w:val="32"/>
          <w:lang w:val="en-US" w:eastAsia="zh-CN"/>
        </w:rPr>
        <w:t>建设</w:t>
      </w:r>
      <w:r>
        <w:rPr>
          <w:rFonts w:hint="eastAsia" w:ascii="仿宋" w:hAnsi="仿宋" w:eastAsia="仿宋" w:cs="仿宋"/>
          <w:color w:val="auto"/>
          <w:sz w:val="32"/>
          <w:szCs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黑体" w:hAnsi="黑体" w:eastAsia="黑体" w:cs="黑体"/>
          <w:color w:val="auto"/>
          <w:sz w:val="32"/>
          <w:szCs w:val="32"/>
          <w:lang w:eastAsia="zh-CN"/>
        </w:rPr>
      </w:pPr>
      <w:r>
        <w:rPr>
          <w:rFonts w:hint="eastAsia" w:ascii="仿宋" w:hAnsi="仿宋" w:eastAsia="仿宋" w:cs="仿宋"/>
          <w:color w:val="auto"/>
          <w:sz w:val="32"/>
          <w:szCs w:val="32"/>
          <w:lang w:eastAsia="zh-CN"/>
        </w:rPr>
        <w:t>（一）</w:t>
      </w:r>
      <w:r>
        <w:rPr>
          <w:rFonts w:hint="eastAsia" w:ascii="仿宋" w:hAnsi="仿宋" w:eastAsia="仿宋" w:cs="仿宋"/>
          <w:b w:val="0"/>
          <w:bCs w:val="0"/>
          <w:color w:val="auto"/>
          <w:sz w:val="32"/>
          <w:szCs w:val="32"/>
        </w:rPr>
        <w:t>配合财政部门开展工作，及时提供评审工作所需相关资料，并对项目的必要性、可行性和资料的真实性、合法性、完整性负责</w:t>
      </w:r>
      <w:r>
        <w:rPr>
          <w:rFonts w:hint="eastAsia" w:ascii="黑体" w:hAnsi="黑体" w:eastAsia="黑体" w:cs="黑体"/>
          <w:b w:val="0"/>
          <w:bCs w:val="0"/>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对财政部门出具的政府投资建设项目初步评审意见，及时反馈意见或建议</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根据财政部门评审结论，及时进行调整或整改</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（四）建设</w:t>
      </w:r>
      <w:r>
        <w:rPr>
          <w:rFonts w:hint="eastAsia" w:ascii="仿宋" w:hAnsi="仿宋" w:eastAsia="仿宋" w:cs="仿宋"/>
          <w:color w:val="auto"/>
          <w:sz w:val="32"/>
          <w:szCs w:val="32"/>
        </w:rPr>
        <w:t>单位</w:t>
      </w:r>
      <w:r>
        <w:rPr>
          <w:rFonts w:hint="eastAsia" w:ascii="仿宋" w:hAnsi="仿宋" w:eastAsia="仿宋" w:cs="仿宋"/>
          <w:color w:val="auto"/>
          <w:sz w:val="32"/>
          <w:szCs w:val="32"/>
          <w:lang w:eastAsia="zh-CN"/>
        </w:rPr>
        <w:t>即</w:t>
      </w:r>
      <w:r>
        <w:rPr>
          <w:rFonts w:hint="eastAsia" w:ascii="仿宋" w:hAnsi="仿宋" w:eastAsia="仿宋" w:cs="仿宋"/>
          <w:color w:val="auto"/>
          <w:sz w:val="32"/>
          <w:szCs w:val="32"/>
        </w:rPr>
        <w:t>是项目主管部门的，要对财政部门评审范围以外的政府投资建设项目竣工结算和财务决算的结果负责</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(五)</w:t>
      </w:r>
      <w:r>
        <w:rPr>
          <w:rFonts w:hint="eastAsia" w:ascii="仿宋" w:hAnsi="仿宋" w:eastAsia="仿宋" w:cs="仿宋"/>
          <w:b w:val="0"/>
          <w:bCs w:val="0"/>
          <w:sz w:val="30"/>
          <w:szCs w:val="30"/>
          <w:lang w:val="en-US" w:eastAsia="zh-CN"/>
        </w:rPr>
        <w:t>建设单位按照《中华人民共和国政府采购法实施条例》第二十八条规定实施工程项目采购</w:t>
      </w:r>
      <w:r>
        <w:rPr>
          <w:rFonts w:hint="eastAsia" w:ascii="仿宋" w:hAnsi="仿宋" w:eastAsia="仿宋" w:cs="仿宋"/>
          <w:b w:val="0"/>
          <w:bCs w:val="0"/>
          <w:color w:val="auto"/>
          <w:sz w:val="32"/>
          <w:szCs w:val="32"/>
          <w:lang w:eastAsia="zh-CN"/>
        </w:rPr>
        <w:t>。</w:t>
      </w:r>
    </w:p>
    <w:p>
      <w:pPr>
        <w:numPr>
          <w:ilvl w:val="0"/>
          <w:numId w:val="0"/>
        </w:numPr>
        <w:ind w:firstLine="320" w:firstLineChars="100"/>
        <w:jc w:val="both"/>
        <w:rPr>
          <w:rFonts w:hint="eastAsia" w:ascii="仿宋" w:hAnsi="仿宋" w:eastAsia="仿宋" w:cs="仿宋"/>
          <w:b w:val="0"/>
          <w:bCs w:val="0"/>
          <w:sz w:val="32"/>
          <w:szCs w:val="32"/>
          <w:lang w:val="en-US" w:eastAsia="zh-CN"/>
        </w:rPr>
      </w:pPr>
    </w:p>
    <w:p>
      <w:pPr>
        <w:numPr>
          <w:ilvl w:val="0"/>
          <w:numId w:val="0"/>
        </w:numPr>
        <w:ind w:firstLine="2570" w:firstLineChars="8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第三章  评审范围和内容</w:t>
      </w:r>
    </w:p>
    <w:p>
      <w:pPr>
        <w:numPr>
          <w:ilvl w:val="0"/>
          <w:numId w:val="0"/>
        </w:numPr>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0"/>
          <w:szCs w:val="30"/>
          <w:lang w:val="en-US" w:eastAsia="zh-CN"/>
        </w:rPr>
        <w:t>凡使用财政性资金实施的政府投资项目</w:t>
      </w:r>
      <w:r>
        <w:rPr>
          <w:rFonts w:hint="eastAsia" w:ascii="仿宋" w:hAnsi="仿宋" w:eastAsia="仿宋" w:cs="仿宋"/>
          <w:b w:val="0"/>
          <w:bCs w:val="0"/>
          <w:sz w:val="32"/>
          <w:szCs w:val="32"/>
          <w:lang w:val="en-US" w:eastAsia="zh-CN"/>
        </w:rPr>
        <w:t>按照</w:t>
      </w:r>
      <w:r>
        <w:rPr>
          <w:rFonts w:hint="eastAsia" w:ascii="仿宋" w:hAnsi="仿宋" w:eastAsia="仿宋" w:cs="仿宋"/>
          <w:sz w:val="32"/>
          <w:szCs w:val="32"/>
          <w:lang w:val="en-US" w:eastAsia="zh-CN"/>
        </w:rPr>
        <w:t>以下要求纳入评审范围：</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（一）工程建设项目：</w:t>
      </w:r>
      <w:r>
        <w:rPr>
          <w:rFonts w:hint="eastAsia" w:ascii="仿宋" w:hAnsi="仿宋" w:eastAsia="仿宋" w:cs="仿宋"/>
          <w:b w:val="0"/>
          <w:bCs w:val="0"/>
          <w:sz w:val="30"/>
          <w:szCs w:val="30"/>
          <w:lang w:val="en-US" w:eastAsia="zh-CN"/>
        </w:rPr>
        <w:t>工程建设项目预算、竣工结（决）算与工程建设有关的货物和</w:t>
      </w:r>
      <w:r>
        <w:rPr>
          <w:rFonts w:hint="eastAsia" w:ascii="仿宋" w:hAnsi="仿宋" w:eastAsia="仿宋" w:cs="仿宋"/>
          <w:b w:val="0"/>
          <w:bCs w:val="0"/>
          <w:sz w:val="32"/>
          <w:szCs w:val="32"/>
          <w:lang w:val="en-US" w:eastAsia="zh-CN"/>
        </w:rPr>
        <w:t>服务等。</w:t>
      </w:r>
      <w:r>
        <w:rPr>
          <w:rFonts w:hint="eastAsia" w:ascii="仿宋" w:hAnsi="仿宋" w:eastAsia="仿宋" w:cs="仿宋"/>
          <w:b w:val="0"/>
          <w:bCs w:val="0"/>
          <w:color w:val="auto"/>
          <w:sz w:val="32"/>
          <w:szCs w:val="32"/>
          <w:lang w:eastAsia="zh-CN"/>
        </w:rPr>
        <w:t>涉及重大民生，</w:t>
      </w:r>
      <w:r>
        <w:rPr>
          <w:rFonts w:hint="eastAsia" w:ascii="仿宋" w:hAnsi="仿宋" w:eastAsia="仿宋" w:cs="仿宋"/>
          <w:b w:val="0"/>
          <w:bCs w:val="0"/>
          <w:sz w:val="30"/>
          <w:szCs w:val="30"/>
          <w:lang w:val="en-US" w:eastAsia="zh-CN"/>
        </w:rPr>
        <w:t>投资金额大，建设周期长的</w:t>
      </w:r>
      <w:r>
        <w:rPr>
          <w:rFonts w:hint="eastAsia" w:ascii="仿宋" w:hAnsi="仿宋" w:eastAsia="仿宋" w:cs="仿宋"/>
          <w:b w:val="0"/>
          <w:bCs w:val="0"/>
          <w:color w:val="auto"/>
          <w:sz w:val="32"/>
          <w:szCs w:val="32"/>
          <w:lang w:eastAsia="zh-CN"/>
        </w:rPr>
        <w:t>项目</w:t>
      </w:r>
      <w:r>
        <w:rPr>
          <w:rFonts w:hint="eastAsia" w:ascii="仿宋" w:hAnsi="仿宋" w:eastAsia="仿宋" w:cs="仿宋"/>
          <w:b w:val="0"/>
          <w:bCs w:val="0"/>
          <w:sz w:val="32"/>
          <w:szCs w:val="32"/>
          <w:lang w:val="en-US" w:eastAsia="zh-CN"/>
        </w:rPr>
        <w:t>应加强政府投资工程建设项目的</w:t>
      </w:r>
      <w:r>
        <w:rPr>
          <w:rFonts w:hint="eastAsia" w:ascii="仿宋" w:hAnsi="仿宋" w:eastAsia="仿宋" w:cs="仿宋"/>
          <w:b w:val="0"/>
          <w:bCs w:val="0"/>
          <w:sz w:val="30"/>
          <w:szCs w:val="30"/>
          <w:lang w:val="en-US" w:eastAsia="zh-CN"/>
        </w:rPr>
        <w:t>全过程成本控制和资金管理</w:t>
      </w:r>
      <w:r>
        <w:rPr>
          <w:rFonts w:hint="eastAsia" w:ascii="仿宋" w:hAnsi="仿宋" w:eastAsia="仿宋" w:cs="仿宋"/>
          <w:b w:val="0"/>
          <w:bCs w:val="0"/>
          <w:sz w:val="32"/>
          <w:szCs w:val="32"/>
          <w:lang w:val="en-US" w:eastAsia="zh-CN"/>
        </w:rPr>
        <w:t>，提高资金使用效益。</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（二）非工程建设项目：形成</w:t>
      </w:r>
      <w:r>
        <w:rPr>
          <w:rFonts w:hint="eastAsia" w:ascii="仿宋" w:hAnsi="仿宋" w:eastAsia="仿宋" w:cs="仿宋"/>
          <w:b w:val="0"/>
          <w:bCs w:val="0"/>
          <w:sz w:val="30"/>
          <w:szCs w:val="30"/>
          <w:lang w:val="en-US" w:eastAsia="zh-CN"/>
        </w:rPr>
        <w:t>固定资产的信息化</w:t>
      </w:r>
      <w:r>
        <w:rPr>
          <w:rFonts w:hint="eastAsia" w:ascii="仿宋" w:hAnsi="仿宋" w:eastAsia="仿宋" w:cs="仿宋"/>
          <w:b w:val="0"/>
          <w:bCs w:val="0"/>
          <w:sz w:val="32"/>
          <w:szCs w:val="32"/>
          <w:lang w:val="en-US" w:eastAsia="zh-CN"/>
        </w:rPr>
        <w:t>等专项服务类项目。</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（三）涉密项目应按照国家相关规定执行。</w:t>
      </w:r>
    </w:p>
    <w:p>
      <w:pPr>
        <w:numPr>
          <w:ilvl w:val="0"/>
          <w:numId w:val="0"/>
        </w:numPr>
        <w:ind w:firstLine="640" w:firstLineChars="200"/>
        <w:jc w:val="both"/>
        <w:rPr>
          <w:rFonts w:hint="eastAsia" w:ascii="黑体" w:hAnsi="黑体" w:eastAsia="黑体" w:cs="黑体"/>
          <w:b/>
          <w:bCs/>
          <w:sz w:val="32"/>
          <w:szCs w:val="32"/>
          <w:lang w:val="en-US" w:eastAsia="zh-CN"/>
        </w:rPr>
      </w:pPr>
      <w:r>
        <w:rPr>
          <w:rFonts w:hint="eastAsia" w:ascii="仿宋" w:hAnsi="仿宋" w:eastAsia="仿宋" w:cs="仿宋"/>
          <w:sz w:val="32"/>
          <w:szCs w:val="32"/>
          <w:lang w:val="en-US" w:eastAsia="zh-CN"/>
        </w:rPr>
        <w:t>（四）其他按照有关规定应评审项目。</w:t>
      </w:r>
    </w:p>
    <w:p>
      <w:pPr>
        <w:numPr>
          <w:ilvl w:val="0"/>
          <w:numId w:val="0"/>
        </w:numPr>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第九条</w:t>
      </w:r>
      <w:r>
        <w:rPr>
          <w:rFonts w:hint="eastAsia" w:ascii="仿宋" w:hAnsi="仿宋" w:eastAsia="仿宋" w:cs="仿宋"/>
          <w:sz w:val="32"/>
          <w:szCs w:val="32"/>
          <w:lang w:val="en-US" w:eastAsia="zh-CN"/>
        </w:rPr>
        <w:t xml:space="preserve">  政府投资项目评审内容包括：</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（一）工程建设项目的必要性、可行性和完整性；</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（二）工程预算、竣工结算和财务决算的合规性、准确性和合理性；</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（三）非工程建设项目的必要性、合理性和经济性；</w:t>
      </w:r>
    </w:p>
    <w:p>
      <w:pPr>
        <w:numPr>
          <w:ilvl w:val="0"/>
          <w:numId w:val="0"/>
        </w:numPr>
        <w:jc w:val="center"/>
        <w:rPr>
          <w:rFonts w:hint="eastAsia" w:ascii="黑体" w:hAnsi="黑体" w:eastAsia="黑体" w:cs="黑体"/>
          <w:b/>
          <w:bCs/>
          <w:sz w:val="32"/>
          <w:szCs w:val="32"/>
          <w:lang w:val="en-US" w:eastAsia="zh-CN"/>
        </w:rPr>
      </w:pPr>
    </w:p>
    <w:p>
      <w:pPr>
        <w:numPr>
          <w:ilvl w:val="0"/>
          <w:numId w:val="0"/>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第四章  工程建设项目评审</w:t>
      </w:r>
    </w:p>
    <w:p>
      <w:pPr>
        <w:numPr>
          <w:ilvl w:val="0"/>
          <w:numId w:val="0"/>
        </w:numPr>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第十条</w:t>
      </w:r>
      <w:r>
        <w:rPr>
          <w:rFonts w:hint="eastAsia" w:ascii="仿宋" w:hAnsi="仿宋" w:eastAsia="仿宋" w:cs="仿宋"/>
          <w:sz w:val="32"/>
          <w:szCs w:val="32"/>
          <w:lang w:val="en-US" w:eastAsia="zh-CN"/>
        </w:rPr>
        <w:t xml:space="preserve"> 财政部门应强化事前控制，切实做好项目预算评审、竣工结算评审和项目财务决算评审等工程建设项目评审工作。</w:t>
      </w:r>
    </w:p>
    <w:p>
      <w:pPr>
        <w:numPr>
          <w:ilvl w:val="0"/>
          <w:numId w:val="0"/>
        </w:numPr>
        <w:ind w:firstLine="643" w:firstLineChars="200"/>
        <w:jc w:val="both"/>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工程</w:t>
      </w:r>
      <w:r>
        <w:rPr>
          <w:rFonts w:hint="eastAsia" w:ascii="仿宋" w:hAnsi="仿宋" w:eastAsia="仿宋" w:cs="仿宋"/>
          <w:b w:val="0"/>
          <w:bCs w:val="0"/>
          <w:sz w:val="30"/>
          <w:szCs w:val="30"/>
          <w:lang w:val="en-US" w:eastAsia="zh-CN"/>
        </w:rPr>
        <w:t>预算</w:t>
      </w:r>
      <w:r>
        <w:rPr>
          <w:rFonts w:hint="eastAsia" w:ascii="仿宋" w:hAnsi="仿宋" w:eastAsia="仿宋" w:cs="仿宋"/>
          <w:b w:val="0"/>
          <w:bCs w:val="0"/>
          <w:sz w:val="32"/>
          <w:szCs w:val="32"/>
          <w:lang w:val="en-US" w:eastAsia="zh-CN"/>
        </w:rPr>
        <w:t>评审</w:t>
      </w:r>
    </w:p>
    <w:p>
      <w:pPr>
        <w:numPr>
          <w:ilvl w:val="0"/>
          <w:numId w:val="0"/>
        </w:numPr>
        <w:ind w:firstLine="640" w:firstLineChars="200"/>
        <w:jc w:val="both"/>
        <w:rPr>
          <w:rFonts w:hint="eastAsia" w:ascii="仿宋" w:hAnsi="仿宋" w:eastAsia="仿宋" w:cs="仿宋"/>
          <w:b/>
          <w:bCs/>
          <w:color w:val="auto"/>
          <w:kern w:val="0"/>
          <w:sz w:val="32"/>
          <w:szCs w:val="32"/>
          <w:lang w:val="en-US" w:eastAsia="zh-CN"/>
        </w:rPr>
      </w:pPr>
      <w:r>
        <w:rPr>
          <w:rFonts w:hint="eastAsia" w:ascii="仿宋" w:hAnsi="仿宋" w:eastAsia="仿宋" w:cs="仿宋"/>
          <w:sz w:val="32"/>
          <w:szCs w:val="32"/>
          <w:lang w:val="en-US" w:eastAsia="zh-CN"/>
        </w:rPr>
        <w:t>凡政府投资建设项目,应当执行国家基本建设管理程序,财政</w:t>
      </w:r>
      <w:r>
        <w:rPr>
          <w:rFonts w:hint="eastAsia" w:ascii="仿宋" w:hAnsi="仿宋" w:eastAsia="仿宋" w:cs="仿宋"/>
          <w:b w:val="0"/>
          <w:bCs w:val="0"/>
          <w:sz w:val="32"/>
          <w:szCs w:val="32"/>
          <w:lang w:val="en-US" w:eastAsia="zh-CN"/>
        </w:rPr>
        <w:t>部门</w:t>
      </w:r>
      <w:r>
        <w:rPr>
          <w:rFonts w:hint="eastAsia" w:ascii="仿宋" w:hAnsi="仿宋" w:eastAsia="仿宋" w:cs="仿宋"/>
          <w:sz w:val="32"/>
          <w:szCs w:val="32"/>
          <w:lang w:val="en-US" w:eastAsia="zh-CN"/>
        </w:rPr>
        <w:t>应组织建设项目施工图预算编审。预算评审内容包括建设标准和规模、工程量及单价、定额或指标运用、取费标准和费率计取、各类费用组成等。</w:t>
      </w:r>
      <w:r>
        <w:rPr>
          <w:rFonts w:hint="eastAsia" w:ascii="仿宋" w:hAnsi="仿宋" w:eastAsia="仿宋" w:cs="仿宋"/>
          <w:b w:val="0"/>
          <w:bCs w:val="0"/>
          <w:sz w:val="30"/>
          <w:szCs w:val="30"/>
          <w:lang w:val="en-US" w:eastAsia="zh-CN"/>
        </w:rPr>
        <w:t>建设单位报送资料审核符合评审要求后应填写《郑州经济技术开发区政府投资项目业务申请表》，由建设单位、项目主管部门审核，经项目分管领导、财政分管领导、主要领导审签后</w:t>
      </w:r>
      <w:r>
        <w:rPr>
          <w:rFonts w:hint="eastAsia" w:ascii="仿宋" w:hAnsi="仿宋" w:eastAsia="仿宋" w:cs="仿宋"/>
          <w:b w:val="0"/>
          <w:bCs w:val="0"/>
          <w:color w:val="auto"/>
          <w:kern w:val="0"/>
          <w:sz w:val="32"/>
          <w:szCs w:val="32"/>
          <w:lang w:val="en-US" w:eastAsia="zh-CN"/>
        </w:rPr>
        <w:t>报送财政部门</w:t>
      </w:r>
      <w:r>
        <w:rPr>
          <w:rFonts w:hint="eastAsia" w:ascii="仿宋" w:hAnsi="仿宋" w:eastAsia="仿宋" w:cs="仿宋"/>
          <w:b/>
          <w:bCs/>
          <w:color w:val="auto"/>
          <w:kern w:val="0"/>
          <w:sz w:val="32"/>
          <w:szCs w:val="32"/>
          <w:lang w:val="en-US" w:eastAsia="zh-CN"/>
        </w:rPr>
        <w:t>。</w:t>
      </w:r>
    </w:p>
    <w:p>
      <w:pPr>
        <w:numPr>
          <w:ilvl w:val="0"/>
          <w:numId w:val="0"/>
        </w:numPr>
        <w:ind w:firstLine="643" w:firstLineChars="200"/>
        <w:jc w:val="both"/>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第十二条</w:t>
      </w:r>
      <w:r>
        <w:rPr>
          <w:rFonts w:hint="eastAsia" w:ascii="黑体" w:hAnsi="黑体" w:eastAsia="黑体" w:cs="黑体"/>
          <w:sz w:val="32"/>
          <w:szCs w:val="32"/>
          <w:lang w:val="en-US" w:eastAsia="zh-CN"/>
        </w:rPr>
        <w:t xml:space="preserve"> </w:t>
      </w:r>
      <w:r>
        <w:rPr>
          <w:rFonts w:hint="eastAsia" w:ascii="仿宋" w:hAnsi="仿宋" w:eastAsia="仿宋" w:cs="仿宋"/>
          <w:b w:val="0"/>
          <w:bCs w:val="0"/>
          <w:sz w:val="32"/>
          <w:szCs w:val="32"/>
          <w:lang w:val="en-US" w:eastAsia="zh-CN"/>
        </w:rPr>
        <w:t>工程</w:t>
      </w:r>
      <w:r>
        <w:rPr>
          <w:rFonts w:hint="eastAsia" w:ascii="仿宋" w:hAnsi="仿宋" w:eastAsia="仿宋" w:cs="仿宋"/>
          <w:b w:val="0"/>
          <w:bCs w:val="0"/>
          <w:sz w:val="30"/>
          <w:szCs w:val="30"/>
          <w:lang w:val="en-US" w:eastAsia="zh-CN"/>
        </w:rPr>
        <w:t>竣工结算</w:t>
      </w:r>
      <w:r>
        <w:rPr>
          <w:rFonts w:hint="eastAsia" w:ascii="仿宋" w:hAnsi="仿宋" w:eastAsia="仿宋" w:cs="仿宋"/>
          <w:b w:val="0"/>
          <w:bCs w:val="0"/>
          <w:sz w:val="32"/>
          <w:szCs w:val="32"/>
          <w:lang w:val="en-US" w:eastAsia="zh-CN"/>
        </w:rPr>
        <w:t>评审</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工程竣工验收后，建设单位应在两个月内按照财政评审规程有关规定整理结算评审资料，经审核审签后向财政部门报送。根据资金安排的不同情况分别审签：</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b w:val="0"/>
          <w:bCs w:val="0"/>
          <w:sz w:val="32"/>
          <w:szCs w:val="32"/>
          <w:lang w:val="en-US" w:eastAsia="zh-CN"/>
        </w:rPr>
        <w:t>年初部门预算</w:t>
      </w:r>
      <w:r>
        <w:rPr>
          <w:rFonts w:hint="eastAsia" w:ascii="仿宋" w:hAnsi="仿宋" w:eastAsia="仿宋" w:cs="仿宋"/>
          <w:b w:val="0"/>
          <w:bCs w:val="0"/>
          <w:sz w:val="30"/>
          <w:szCs w:val="30"/>
          <w:lang w:val="en-US" w:eastAsia="zh-CN"/>
        </w:rPr>
        <w:t>已明确的项目</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0"/>
          <w:szCs w:val="30"/>
          <w:lang w:val="en-US" w:eastAsia="zh-CN"/>
        </w:rPr>
        <w:t>由建设单位、项目主管部门审核同意后</w:t>
      </w:r>
      <w:r>
        <w:rPr>
          <w:rFonts w:hint="eastAsia" w:ascii="仿宋" w:hAnsi="仿宋" w:eastAsia="仿宋" w:cs="仿宋"/>
          <w:b w:val="0"/>
          <w:bCs w:val="0"/>
          <w:sz w:val="32"/>
          <w:szCs w:val="32"/>
          <w:lang w:val="en-US" w:eastAsia="zh-CN"/>
        </w:rPr>
        <w:t>，报财政部门。</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（二）年初部门</w:t>
      </w:r>
      <w:r>
        <w:rPr>
          <w:rFonts w:hint="eastAsia" w:ascii="仿宋" w:hAnsi="仿宋" w:eastAsia="仿宋" w:cs="仿宋"/>
          <w:b w:val="0"/>
          <w:bCs w:val="0"/>
          <w:sz w:val="30"/>
          <w:szCs w:val="30"/>
          <w:lang w:val="en-US" w:eastAsia="zh-CN"/>
        </w:rPr>
        <w:t>预算未明确的项目</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0"/>
          <w:szCs w:val="30"/>
          <w:lang w:val="en-US" w:eastAsia="zh-CN"/>
        </w:rPr>
        <w:t>建设单位应尽快细化，落实到具体项目，并报财政部门预算主管科室备案</w:t>
      </w:r>
      <w:r>
        <w:rPr>
          <w:rFonts w:hint="eastAsia" w:ascii="仿宋" w:hAnsi="仿宋" w:eastAsia="仿宋" w:cs="仿宋"/>
          <w:b w:val="0"/>
          <w:bCs w:val="0"/>
          <w:sz w:val="32"/>
          <w:szCs w:val="32"/>
          <w:lang w:val="en-US" w:eastAsia="zh-CN"/>
        </w:rPr>
        <w:t>。此类项目结算评审资料由</w:t>
      </w:r>
      <w:r>
        <w:rPr>
          <w:rFonts w:hint="eastAsia" w:ascii="仿宋" w:hAnsi="仿宋" w:eastAsia="仿宋" w:cs="仿宋"/>
          <w:b w:val="0"/>
          <w:bCs w:val="0"/>
          <w:sz w:val="30"/>
          <w:szCs w:val="30"/>
          <w:lang w:val="en-US" w:eastAsia="zh-CN"/>
        </w:rPr>
        <w:t>建设单位、项目主管部门审核，经项目分管领导审签后</w:t>
      </w:r>
      <w:r>
        <w:rPr>
          <w:rFonts w:hint="eastAsia" w:ascii="仿宋" w:hAnsi="仿宋" w:eastAsia="仿宋" w:cs="仿宋"/>
          <w:b w:val="0"/>
          <w:bCs w:val="0"/>
          <w:sz w:val="32"/>
          <w:szCs w:val="32"/>
          <w:lang w:val="en-US" w:eastAsia="zh-CN"/>
        </w:rPr>
        <w:t>报财政部门。</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（三）年度财政</w:t>
      </w:r>
      <w:r>
        <w:rPr>
          <w:rFonts w:hint="eastAsia" w:ascii="仿宋" w:hAnsi="仿宋" w:eastAsia="仿宋" w:cs="仿宋"/>
          <w:b w:val="0"/>
          <w:bCs w:val="0"/>
          <w:sz w:val="30"/>
          <w:szCs w:val="30"/>
          <w:lang w:val="en-US" w:eastAsia="zh-CN"/>
        </w:rPr>
        <w:t>预算无安排、需追加预算</w:t>
      </w:r>
      <w:r>
        <w:rPr>
          <w:rFonts w:hint="eastAsia" w:ascii="仿宋" w:hAnsi="仿宋" w:eastAsia="仿宋" w:cs="仿宋"/>
          <w:b w:val="0"/>
          <w:bCs w:val="0"/>
          <w:sz w:val="32"/>
          <w:szCs w:val="32"/>
          <w:lang w:val="en-US" w:eastAsia="zh-CN"/>
        </w:rPr>
        <w:t>实施的项目，建设单位应按照财政预算管理的</w:t>
      </w:r>
      <w:r>
        <w:rPr>
          <w:rFonts w:hint="eastAsia" w:ascii="仿宋" w:hAnsi="仿宋" w:eastAsia="仿宋" w:cs="仿宋"/>
          <w:b w:val="0"/>
          <w:bCs w:val="0"/>
          <w:sz w:val="30"/>
          <w:szCs w:val="30"/>
          <w:lang w:val="en-US" w:eastAsia="zh-CN"/>
        </w:rPr>
        <w:t>有关规定先行申请落实资金预算</w:t>
      </w:r>
      <w:r>
        <w:rPr>
          <w:rFonts w:hint="eastAsia" w:ascii="仿宋" w:hAnsi="仿宋" w:eastAsia="仿宋" w:cs="仿宋"/>
          <w:b w:val="0"/>
          <w:bCs w:val="0"/>
          <w:sz w:val="32"/>
          <w:szCs w:val="32"/>
          <w:lang w:val="en-US" w:eastAsia="zh-CN"/>
        </w:rPr>
        <w:t>。此类项目结算评审资料</w:t>
      </w:r>
      <w:r>
        <w:rPr>
          <w:rFonts w:hint="eastAsia" w:ascii="仿宋" w:hAnsi="仿宋" w:eastAsia="仿宋" w:cs="仿宋"/>
          <w:b w:val="0"/>
          <w:bCs w:val="0"/>
          <w:sz w:val="30"/>
          <w:szCs w:val="30"/>
          <w:lang w:val="en-US" w:eastAsia="zh-CN"/>
        </w:rPr>
        <w:t>由建设单位、项目主管部门审核，经项目分管领导、财政分管领导审签后</w:t>
      </w:r>
      <w:r>
        <w:rPr>
          <w:rFonts w:hint="eastAsia" w:ascii="仿宋" w:hAnsi="仿宋" w:eastAsia="仿宋" w:cs="仿宋"/>
          <w:b w:val="0"/>
          <w:bCs w:val="0"/>
          <w:sz w:val="32"/>
          <w:szCs w:val="32"/>
          <w:lang w:val="en-US" w:eastAsia="zh-CN"/>
        </w:rPr>
        <w:t>报财政部门。</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以上结算评审金额在</w:t>
      </w:r>
      <w:r>
        <w:rPr>
          <w:rFonts w:hint="eastAsia" w:ascii="仿宋" w:hAnsi="仿宋" w:eastAsia="仿宋" w:cs="仿宋"/>
          <w:b w:val="0"/>
          <w:bCs w:val="0"/>
          <w:sz w:val="30"/>
          <w:szCs w:val="30"/>
          <w:lang w:val="en-US" w:eastAsia="zh-CN"/>
        </w:rPr>
        <w:t>1000万元以上（含）的项目，均须在原有审签流程基础上报管委会主要领导审签</w:t>
      </w:r>
      <w:r>
        <w:rPr>
          <w:rFonts w:hint="eastAsia" w:ascii="仿宋" w:hAnsi="仿宋" w:eastAsia="仿宋" w:cs="仿宋"/>
          <w:b w:val="0"/>
          <w:bCs w:val="0"/>
          <w:sz w:val="32"/>
          <w:szCs w:val="32"/>
          <w:lang w:val="en-US" w:eastAsia="zh-CN"/>
        </w:rPr>
        <w:t>。</w:t>
      </w:r>
    </w:p>
    <w:p>
      <w:pPr>
        <w:numPr>
          <w:ilvl w:val="0"/>
          <w:numId w:val="0"/>
        </w:numPr>
        <w:ind w:firstLine="602" w:firstLineChars="200"/>
        <w:jc w:val="both"/>
        <w:rPr>
          <w:rFonts w:hint="eastAsia" w:ascii="仿宋" w:hAnsi="仿宋" w:eastAsia="仿宋" w:cs="仿宋"/>
          <w:b w:val="0"/>
          <w:bCs w:val="0"/>
          <w:color w:val="auto"/>
          <w:sz w:val="32"/>
          <w:szCs w:val="32"/>
          <w:lang w:eastAsia="zh-CN"/>
        </w:rPr>
      </w:pPr>
      <w:r>
        <w:rPr>
          <w:rFonts w:hint="eastAsia" w:ascii="仿宋" w:hAnsi="仿宋" w:eastAsia="仿宋" w:cs="仿宋"/>
          <w:b w:val="0"/>
          <w:bCs w:val="0"/>
          <w:sz w:val="30"/>
          <w:szCs w:val="30"/>
          <w:lang w:val="en-US" w:eastAsia="zh-CN"/>
        </w:rPr>
        <w:t>项目送审结算金额不得超合同价百分之二十，超合同价百分之二十（含百分之二十）以上的工程项目由建设局和财政部门审核后，建设单位和项目主管部门报管委会研究决定</w:t>
      </w:r>
      <w:r>
        <w:rPr>
          <w:rFonts w:hint="eastAsia" w:ascii="仿宋" w:hAnsi="仿宋" w:eastAsia="仿宋" w:cs="仿宋"/>
          <w:b w:val="0"/>
          <w:bCs w:val="0"/>
          <w:color w:val="auto"/>
          <w:sz w:val="32"/>
          <w:szCs w:val="32"/>
          <w:lang w:eastAsia="zh-CN"/>
        </w:rPr>
        <w:t>。</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财政部门应按照规定程序及时组织评审，重点审核</w:t>
      </w:r>
      <w:r>
        <w:rPr>
          <w:rFonts w:hint="eastAsia" w:ascii="仿宋" w:hAnsi="仿宋" w:eastAsia="仿宋" w:cs="仿宋"/>
          <w:color w:val="000000"/>
          <w:kern w:val="0"/>
          <w:sz w:val="32"/>
          <w:szCs w:val="32"/>
          <w:lang w:val="en-US" w:eastAsia="zh-CN" w:bidi="ar"/>
        </w:rPr>
        <w:t>结算方式与合同执行、工程量及单价计取、定额运用、各项费用和税金计取、设计变更及工程量签证等。</w:t>
      </w:r>
      <w:r>
        <w:rPr>
          <w:rFonts w:hint="eastAsia" w:ascii="仿宋" w:hAnsi="仿宋" w:eastAsia="仿宋" w:cs="仿宋"/>
          <w:sz w:val="32"/>
          <w:szCs w:val="32"/>
          <w:lang w:val="en-US" w:eastAsia="zh-CN"/>
        </w:rPr>
        <w:t>经审定后下达的批复，作为项目单位编报竣工财务决算和支出管理的依据。</w:t>
      </w:r>
    </w:p>
    <w:p>
      <w:pPr>
        <w:numPr>
          <w:ilvl w:val="0"/>
          <w:numId w:val="0"/>
        </w:numPr>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第十三条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竣工财务决算评审</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建设单位应在项目完成验收可投入使用或者试运行合格后3个月内按照有关政策规定编制项目财务决算报告，金额在5000万元以上的项目不得超过6个月。</w:t>
      </w:r>
    </w:p>
    <w:p>
      <w:pPr>
        <w:numPr>
          <w:ilvl w:val="0"/>
          <w:numId w:val="0"/>
        </w:numPr>
        <w:ind w:firstLine="602"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0"/>
          <w:szCs w:val="30"/>
          <w:lang w:val="en-US" w:eastAsia="zh-CN"/>
        </w:rPr>
        <w:t>100万元以下</w:t>
      </w:r>
      <w:r>
        <w:rPr>
          <w:rFonts w:hint="eastAsia" w:ascii="仿宋" w:hAnsi="仿宋" w:eastAsia="仿宋" w:cs="仿宋"/>
          <w:b w:val="0"/>
          <w:bCs w:val="0"/>
          <w:sz w:val="32"/>
          <w:szCs w:val="32"/>
          <w:lang w:val="en-US" w:eastAsia="zh-CN"/>
        </w:rPr>
        <w:t>的项目财务决算由建设单位项目主管部门审核，经</w:t>
      </w:r>
      <w:r>
        <w:rPr>
          <w:rFonts w:hint="eastAsia" w:ascii="仿宋" w:hAnsi="仿宋" w:eastAsia="仿宋" w:cs="仿宋"/>
          <w:b w:val="0"/>
          <w:bCs w:val="0"/>
          <w:sz w:val="30"/>
          <w:szCs w:val="30"/>
          <w:lang w:val="en-US" w:eastAsia="zh-CN"/>
        </w:rPr>
        <w:t>分管领导审签后</w:t>
      </w:r>
      <w:r>
        <w:rPr>
          <w:rFonts w:hint="eastAsia" w:ascii="仿宋" w:hAnsi="仿宋" w:eastAsia="仿宋" w:cs="仿宋"/>
          <w:b w:val="0"/>
          <w:bCs w:val="0"/>
          <w:sz w:val="32"/>
          <w:szCs w:val="32"/>
          <w:lang w:val="en-US" w:eastAsia="zh-CN"/>
        </w:rPr>
        <w:t>报财政部门；</w:t>
      </w:r>
      <w:r>
        <w:rPr>
          <w:rFonts w:hint="eastAsia" w:ascii="仿宋" w:hAnsi="仿宋" w:eastAsia="仿宋" w:cs="仿宋"/>
          <w:b w:val="0"/>
          <w:bCs w:val="0"/>
          <w:sz w:val="30"/>
          <w:szCs w:val="30"/>
          <w:lang w:val="en-US" w:eastAsia="zh-CN"/>
        </w:rPr>
        <w:t>100万元（含）以上、1000万元（含）以下</w:t>
      </w:r>
      <w:r>
        <w:rPr>
          <w:rFonts w:hint="eastAsia" w:ascii="仿宋" w:hAnsi="仿宋" w:eastAsia="仿宋" w:cs="仿宋"/>
          <w:b w:val="0"/>
          <w:bCs w:val="0"/>
          <w:sz w:val="32"/>
          <w:szCs w:val="32"/>
          <w:lang w:val="en-US" w:eastAsia="zh-CN"/>
        </w:rPr>
        <w:t>的项目由</w:t>
      </w:r>
      <w:r>
        <w:rPr>
          <w:rFonts w:hint="eastAsia" w:ascii="仿宋" w:hAnsi="仿宋" w:eastAsia="仿宋" w:cs="仿宋"/>
          <w:b w:val="0"/>
          <w:bCs w:val="0"/>
          <w:sz w:val="30"/>
          <w:szCs w:val="30"/>
          <w:lang w:val="en-US" w:eastAsia="zh-CN"/>
        </w:rPr>
        <w:t>建设单位、项目主管部门审核，经项目分管领导审签、财政分管领导审签后</w:t>
      </w:r>
      <w:r>
        <w:rPr>
          <w:rFonts w:hint="eastAsia" w:ascii="仿宋" w:hAnsi="仿宋" w:eastAsia="仿宋" w:cs="仿宋"/>
          <w:b w:val="0"/>
          <w:bCs w:val="0"/>
          <w:sz w:val="32"/>
          <w:szCs w:val="32"/>
          <w:lang w:val="en-US" w:eastAsia="zh-CN"/>
        </w:rPr>
        <w:t>报财政部门</w:t>
      </w:r>
      <w:r>
        <w:rPr>
          <w:rFonts w:hint="eastAsia" w:ascii="仿宋" w:hAnsi="仿宋" w:eastAsia="仿宋" w:cs="仿宋"/>
          <w:b w:val="0"/>
          <w:bCs w:val="0"/>
          <w:sz w:val="30"/>
          <w:szCs w:val="30"/>
          <w:lang w:val="en-US" w:eastAsia="zh-CN"/>
        </w:rPr>
        <w:t>；1000万元以上</w:t>
      </w:r>
      <w:r>
        <w:rPr>
          <w:rFonts w:hint="eastAsia" w:ascii="仿宋" w:hAnsi="仿宋" w:eastAsia="仿宋" w:cs="仿宋"/>
          <w:b w:val="0"/>
          <w:bCs w:val="0"/>
          <w:sz w:val="32"/>
          <w:szCs w:val="32"/>
          <w:lang w:val="en-US" w:eastAsia="zh-CN"/>
        </w:rPr>
        <w:t>项目，</w:t>
      </w:r>
      <w:r>
        <w:rPr>
          <w:rFonts w:hint="eastAsia" w:ascii="仿宋" w:hAnsi="仿宋" w:eastAsia="仿宋" w:cs="仿宋"/>
          <w:b w:val="0"/>
          <w:bCs w:val="0"/>
          <w:sz w:val="30"/>
          <w:szCs w:val="30"/>
          <w:lang w:val="en-US" w:eastAsia="zh-CN"/>
        </w:rPr>
        <w:t>均须在原有审签流程基础上报管委会主要领导审签</w:t>
      </w:r>
      <w:r>
        <w:rPr>
          <w:rFonts w:hint="eastAsia" w:ascii="仿宋" w:hAnsi="仿宋" w:eastAsia="仿宋" w:cs="仿宋"/>
          <w:b w:val="0"/>
          <w:bCs w:val="0"/>
          <w:sz w:val="32"/>
          <w:szCs w:val="32"/>
          <w:lang w:val="en-US" w:eastAsia="zh-CN"/>
        </w:rPr>
        <w:t>。</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部门应对财务决算报告的政策性、技术性进行分析，重点对工程价款结算、项目核算管理、程序执行及建设管理、概（预）算执行、交付使用资产和尾工工程等内容进行评审。对于符合条件的建设项目，财政部门应在3个月内完成批复。</w:t>
      </w:r>
    </w:p>
    <w:p>
      <w:pPr>
        <w:numPr>
          <w:ilvl w:val="0"/>
          <w:numId w:val="0"/>
        </w:numPr>
        <w:ind w:firstLine="602"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0"/>
          <w:szCs w:val="30"/>
          <w:lang w:val="en-US" w:eastAsia="zh-CN"/>
        </w:rPr>
        <w:t>未纳入财政评审范围的财务决算由实施项目的主管预算单位负责审核。财政部门对审核结果进行抽查，并进行绩效评价</w:t>
      </w:r>
      <w:r>
        <w:rPr>
          <w:rFonts w:hint="eastAsia" w:ascii="仿宋" w:hAnsi="仿宋" w:eastAsia="仿宋" w:cs="仿宋"/>
          <w:b w:val="0"/>
          <w:bCs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黑体" w:hAnsi="黑体" w:eastAsia="黑体" w:cs="黑体"/>
          <w:b/>
          <w:bCs/>
          <w:sz w:val="32"/>
          <w:szCs w:val="32"/>
          <w:lang w:val="en-US" w:eastAsia="zh-CN"/>
        </w:rPr>
        <w:t>第十四条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0"/>
          <w:szCs w:val="30"/>
          <w:lang w:val="en-US" w:eastAsia="zh-CN"/>
        </w:rPr>
        <w:t>土方、清运测量</w:t>
      </w:r>
      <w:r>
        <w:rPr>
          <w:rFonts w:hint="eastAsia" w:ascii="仿宋" w:hAnsi="仿宋" w:eastAsia="仿宋" w:cs="仿宋"/>
          <w:b w:val="0"/>
          <w:bCs w:val="0"/>
          <w:color w:val="auto"/>
          <w:sz w:val="32"/>
          <w:szCs w:val="32"/>
          <w:lang w:val="en-US" w:eastAsia="zh-CN"/>
        </w:rPr>
        <w:t>项目</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需要办理土方、垃圾项目测量业务的单位应根据项目类别和有关要求，</w:t>
      </w:r>
      <w:r>
        <w:rPr>
          <w:rFonts w:hint="eastAsia" w:ascii="仿宋" w:hAnsi="仿宋" w:eastAsia="仿宋" w:cs="仿宋"/>
          <w:b w:val="0"/>
          <w:bCs w:val="0"/>
          <w:sz w:val="30"/>
          <w:szCs w:val="30"/>
          <w:lang w:val="en-US" w:eastAsia="zh-CN"/>
        </w:rPr>
        <w:t>测量申请需明确测量范围和标高数据;经单位负责人和分管领导审签后</w:t>
      </w:r>
      <w:r>
        <w:rPr>
          <w:rFonts w:hint="eastAsia" w:ascii="仿宋" w:hAnsi="仿宋" w:eastAsia="仿宋" w:cs="仿宋"/>
          <w:b w:val="0"/>
          <w:bCs w:val="0"/>
          <w:color w:val="auto"/>
          <w:sz w:val="32"/>
          <w:szCs w:val="32"/>
          <w:lang w:val="en-US" w:eastAsia="zh-CN"/>
        </w:rPr>
        <w:t>及时报财政部门，</w:t>
      </w:r>
      <w:r>
        <w:rPr>
          <w:rFonts w:hint="eastAsia" w:ascii="仿宋" w:hAnsi="仿宋" w:eastAsia="仿宋" w:cs="仿宋"/>
          <w:b w:val="0"/>
          <w:bCs w:val="0"/>
          <w:sz w:val="30"/>
          <w:szCs w:val="30"/>
          <w:lang w:val="en-US" w:eastAsia="zh-CN"/>
        </w:rPr>
        <w:t>运输距离</w:t>
      </w:r>
      <w:r>
        <w:rPr>
          <w:rFonts w:hint="eastAsia" w:ascii="仿宋" w:hAnsi="仿宋" w:eastAsia="仿宋" w:cs="仿宋"/>
          <w:b w:val="0"/>
          <w:bCs w:val="0"/>
          <w:color w:val="auto"/>
          <w:sz w:val="32"/>
          <w:szCs w:val="32"/>
          <w:lang w:val="en-US" w:eastAsia="zh-CN"/>
        </w:rPr>
        <w:t>由所属</w:t>
      </w:r>
      <w:r>
        <w:rPr>
          <w:rFonts w:hint="eastAsia" w:ascii="仿宋" w:hAnsi="仿宋" w:eastAsia="仿宋" w:cs="仿宋"/>
          <w:b w:val="0"/>
          <w:bCs w:val="0"/>
          <w:sz w:val="30"/>
          <w:szCs w:val="30"/>
          <w:lang w:val="en-US" w:eastAsia="zh-CN"/>
        </w:rPr>
        <w:t>办事处的</w:t>
      </w:r>
      <w:r>
        <w:rPr>
          <w:rFonts w:hint="eastAsia" w:ascii="仿宋" w:hAnsi="仿宋" w:eastAsia="仿宋" w:cs="仿宋"/>
          <w:b w:val="0"/>
          <w:bCs w:val="0"/>
          <w:color w:val="auto"/>
          <w:sz w:val="32"/>
          <w:szCs w:val="32"/>
          <w:lang w:val="en-US" w:eastAsia="zh-CN"/>
        </w:rPr>
        <w:t>土地、纪委、财政、城管等部门及</w:t>
      </w:r>
      <w:r>
        <w:rPr>
          <w:rFonts w:hint="eastAsia" w:ascii="仿宋" w:hAnsi="仿宋" w:eastAsia="仿宋" w:cs="仿宋"/>
          <w:b w:val="0"/>
          <w:bCs w:val="0"/>
          <w:sz w:val="30"/>
          <w:szCs w:val="30"/>
          <w:lang w:val="en-US" w:eastAsia="zh-CN"/>
        </w:rPr>
        <w:t>工程项目主管部门会同行政执法局（城市管理局）联合</w:t>
      </w:r>
      <w:r>
        <w:rPr>
          <w:rFonts w:hint="eastAsia" w:ascii="仿宋" w:hAnsi="仿宋" w:eastAsia="仿宋" w:cs="仿宋"/>
          <w:b w:val="0"/>
          <w:bCs w:val="0"/>
          <w:color w:val="auto"/>
          <w:sz w:val="32"/>
          <w:szCs w:val="32"/>
          <w:lang w:val="en-US" w:eastAsia="zh-CN"/>
        </w:rPr>
        <w:t>出具运距证明。财政部门应及时组织测量并出具测量报告结果；以满足项目需要。</w:t>
      </w:r>
      <w:r>
        <w:rPr>
          <w:rFonts w:hint="eastAsia" w:ascii="仿宋" w:hAnsi="仿宋" w:eastAsia="仿宋" w:cs="仿宋"/>
          <w:b w:val="0"/>
          <w:bCs w:val="0"/>
          <w:sz w:val="30"/>
          <w:szCs w:val="30"/>
          <w:lang w:val="en-US" w:eastAsia="zh-CN"/>
        </w:rPr>
        <w:t>清运验收</w:t>
      </w:r>
      <w:r>
        <w:rPr>
          <w:rFonts w:hint="eastAsia" w:ascii="仿宋" w:hAnsi="仿宋" w:eastAsia="仿宋" w:cs="仿宋"/>
          <w:b w:val="0"/>
          <w:bCs w:val="0"/>
          <w:color w:val="auto"/>
          <w:sz w:val="32"/>
          <w:szCs w:val="32"/>
          <w:lang w:val="en-US" w:eastAsia="zh-CN"/>
        </w:rPr>
        <w:t>由所属</w:t>
      </w:r>
      <w:r>
        <w:rPr>
          <w:rFonts w:hint="eastAsia" w:ascii="仿宋" w:hAnsi="仿宋" w:eastAsia="仿宋" w:cs="仿宋"/>
          <w:b w:val="0"/>
          <w:bCs w:val="0"/>
          <w:sz w:val="30"/>
          <w:szCs w:val="30"/>
          <w:lang w:val="en-US" w:eastAsia="zh-CN"/>
        </w:rPr>
        <w:t>办事处的</w:t>
      </w:r>
      <w:r>
        <w:rPr>
          <w:rFonts w:hint="eastAsia" w:ascii="仿宋" w:hAnsi="仿宋" w:eastAsia="仿宋" w:cs="仿宋"/>
          <w:b w:val="0"/>
          <w:bCs w:val="0"/>
          <w:color w:val="auto"/>
          <w:sz w:val="32"/>
          <w:szCs w:val="32"/>
          <w:lang w:val="en-US" w:eastAsia="zh-CN"/>
        </w:rPr>
        <w:t>土地、纪委、财政、城管等部门与</w:t>
      </w:r>
      <w:r>
        <w:rPr>
          <w:rFonts w:hint="eastAsia" w:ascii="仿宋" w:hAnsi="仿宋" w:eastAsia="仿宋" w:cs="仿宋"/>
          <w:b w:val="0"/>
          <w:bCs w:val="0"/>
          <w:sz w:val="30"/>
          <w:szCs w:val="30"/>
          <w:lang w:val="en-US" w:eastAsia="zh-CN"/>
        </w:rPr>
        <w:t>工程项目主管</w:t>
      </w:r>
      <w:r>
        <w:rPr>
          <w:rFonts w:hint="eastAsia" w:ascii="仿宋" w:hAnsi="仿宋" w:eastAsia="仿宋" w:cs="仿宋"/>
          <w:b w:val="0"/>
          <w:bCs w:val="0"/>
          <w:color w:val="auto"/>
          <w:sz w:val="32"/>
          <w:szCs w:val="32"/>
          <w:lang w:val="en-US" w:eastAsia="zh-CN"/>
        </w:rPr>
        <w:t>部门联合验收，并出具符合项目进场的验收报告。项目单位应对报送资料的真实性、准确性负责，行政执法局（城市管理局）和工程项目主管部门应加强全区土方类项目的总体管控；财政部门应强化测量业务任务控制。</w:t>
      </w:r>
      <w:r>
        <w:rPr>
          <w:rFonts w:hint="eastAsia" w:ascii="仿宋" w:hAnsi="仿宋" w:eastAsia="仿宋" w:cs="仿宋"/>
          <w:b w:val="0"/>
          <w:bCs w:val="0"/>
          <w:sz w:val="30"/>
          <w:szCs w:val="30"/>
          <w:lang w:val="en-US" w:eastAsia="zh-CN"/>
        </w:rPr>
        <w:t>土方清运价格按照法律法规和管委会有关规定执行，办事处范围内土方垃圾测量应结合郑经管政[2021]13号文件规定执行</w:t>
      </w:r>
      <w:r>
        <w:rPr>
          <w:rFonts w:hint="eastAsia" w:ascii="仿宋" w:hAnsi="仿宋" w:eastAsia="仿宋" w:cs="仿宋"/>
          <w:b w:val="0"/>
          <w:bCs w:val="0"/>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 w:hAnsi="仿宋" w:eastAsia="仿宋" w:cs="仿宋"/>
          <w:b w:val="0"/>
          <w:bCs w:val="0"/>
          <w:color w:val="auto"/>
          <w:kern w:val="0"/>
          <w:sz w:val="32"/>
          <w:szCs w:val="32"/>
        </w:rPr>
      </w:pPr>
      <w:r>
        <w:rPr>
          <w:rFonts w:hint="eastAsia" w:ascii="黑体" w:hAnsi="黑体" w:eastAsia="黑体" w:cs="黑体"/>
          <w:b w:val="0"/>
          <w:bCs w:val="0"/>
          <w:color w:val="auto"/>
          <w:kern w:val="0"/>
          <w:sz w:val="32"/>
          <w:szCs w:val="32"/>
          <w:lang w:eastAsia="zh-CN"/>
        </w:rPr>
        <w:t>第十五条</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b w:val="0"/>
          <w:bCs w:val="0"/>
          <w:color w:val="auto"/>
          <w:kern w:val="0"/>
          <w:sz w:val="32"/>
          <w:szCs w:val="32"/>
        </w:rPr>
        <w:t>变更、签证</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right="0" w:firstLine="643" w:firstLineChars="200"/>
        <w:jc w:val="both"/>
        <w:textAlignment w:val="auto"/>
        <w:rPr>
          <w:rFonts w:hint="eastAsia" w:ascii="仿宋" w:hAnsi="仿宋" w:eastAsia="仿宋" w:cs="仿宋"/>
          <w:b w:val="0"/>
          <w:bCs w:val="0"/>
          <w:color w:val="C00000"/>
          <w:sz w:val="32"/>
          <w:szCs w:val="32"/>
          <w:highlight w:val="yellow"/>
          <w:lang w:val="en-US" w:eastAsia="zh-CN"/>
        </w:rPr>
      </w:pPr>
      <w:r>
        <w:rPr>
          <w:rFonts w:hint="eastAsia" w:ascii="仿宋" w:hAnsi="仿宋" w:eastAsia="仿宋" w:cs="仿宋"/>
          <w:b w:val="0"/>
          <w:bCs w:val="0"/>
          <w:color w:val="auto"/>
          <w:kern w:val="0"/>
          <w:sz w:val="32"/>
          <w:szCs w:val="32"/>
          <w:lang w:val="en-US" w:eastAsia="zh-CN"/>
        </w:rPr>
        <w:t>按照郑州经济技术开发区政府投资项目工程签证审批流程相关规定</w:t>
      </w:r>
      <w:r>
        <w:rPr>
          <w:rFonts w:hint="eastAsia" w:ascii="仿宋" w:hAnsi="仿宋" w:eastAsia="仿宋" w:cs="仿宋"/>
          <w:b w:val="0"/>
          <w:bCs w:val="0"/>
          <w:color w:val="auto"/>
          <w:kern w:val="0"/>
          <w:sz w:val="32"/>
          <w:szCs w:val="32"/>
          <w:lang w:eastAsia="zh-CN"/>
        </w:rPr>
        <w:t>执行</w:t>
      </w:r>
      <w:r>
        <w:rPr>
          <w:rFonts w:hint="eastAsia" w:ascii="仿宋" w:hAnsi="仿宋" w:eastAsia="仿宋" w:cs="仿宋"/>
          <w:b w:val="0"/>
          <w:bCs w:val="0"/>
          <w:color w:val="auto"/>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0"/>
          <w:sz w:val="32"/>
          <w:szCs w:val="32"/>
          <w:lang w:val="en-US" w:eastAsia="zh-CN"/>
        </w:rPr>
        <w:t>原则上工程签证的总金额不得超过合同金额的20%，</w:t>
      </w:r>
      <w:r>
        <w:rPr>
          <w:rFonts w:hint="eastAsia" w:ascii="仿宋" w:hAnsi="仿宋" w:eastAsia="仿宋" w:cs="仿宋"/>
          <w:b w:val="0"/>
          <w:bCs w:val="0"/>
          <w:color w:val="auto"/>
          <w:sz w:val="32"/>
          <w:szCs w:val="32"/>
          <w:lang w:val="en-US" w:eastAsia="zh-CN"/>
        </w:rPr>
        <w:t>单项签证费用5万以下（含5万），经监理单位初审，由建设单位（项目主管单位）审签后，报建设局最终签批通过；单项签证费用5万以上30万以下（含30万），经监理单位初审，由建设单位（项目主管单位）和建设局审签后，报管委会建设单位分管领导最终签批通过；单项签证费用30万以上，经监理单位审核，由建设单位（项目主管单位）和建设局审签后，逐级报管委会主要领导审签通过。</w:t>
      </w:r>
    </w:p>
    <w:p>
      <w:pPr>
        <w:numPr>
          <w:ilvl w:val="0"/>
          <w:numId w:val="0"/>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第五章  评审程序和要求</w:t>
      </w:r>
    </w:p>
    <w:p>
      <w:pPr>
        <w:pageBreakBefore w:val="0"/>
        <w:widowControl/>
        <w:kinsoku/>
        <w:wordWrap/>
        <w:overflowPunct/>
        <w:topLinePunct w:val="0"/>
        <w:autoSpaceDE/>
        <w:autoSpaceDN/>
        <w:bidi w:val="0"/>
        <w:adjustRightInd/>
        <w:snapToGrid/>
        <w:spacing w:after="0" w:line="560" w:lineRule="exact"/>
        <w:ind w:leftChars="0" w:right="0" w:firstLine="643"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第十六条</w:t>
      </w:r>
      <w:r>
        <w:rPr>
          <w:rFonts w:hint="eastAsia" w:ascii="仿宋" w:hAnsi="仿宋" w:eastAsia="仿宋" w:cs="仿宋"/>
          <w:sz w:val="32"/>
          <w:szCs w:val="32"/>
          <w:lang w:val="en-US" w:eastAsia="zh-CN"/>
        </w:rPr>
        <w:t xml:space="preserve"> 每年度财政总预算和部门预算下发后，财政部门应将需要评审项目分类汇总、研究分析，根据项目轻重缓急情况制定初步评审计划，加强年度财政评审的计划性和前瞻性管理。</w:t>
      </w:r>
    </w:p>
    <w:p>
      <w:pPr>
        <w:keepNext w:val="0"/>
        <w:keepLines w:val="0"/>
        <w:widowControl/>
        <w:numPr>
          <w:ilvl w:val="0"/>
          <w:numId w:val="0"/>
        </w:numPr>
        <w:suppressLineNumbers w:val="0"/>
        <w:ind w:left="5" w:leftChars="0"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第十七条</w:t>
      </w:r>
      <w:r>
        <w:rPr>
          <w:rFonts w:hint="eastAsia" w:ascii="仿宋" w:hAnsi="仿宋" w:eastAsia="仿宋" w:cs="仿宋"/>
          <w:sz w:val="32"/>
          <w:szCs w:val="32"/>
          <w:lang w:val="en-US" w:eastAsia="zh-CN"/>
        </w:rPr>
        <w:t xml:space="preserve"> 工程建设项目评审程序</w:t>
      </w:r>
    </w:p>
    <w:p>
      <w:pPr>
        <w:keepNext w:val="0"/>
        <w:keepLines w:val="0"/>
        <w:widowControl/>
        <w:numPr>
          <w:ilvl w:val="0"/>
          <w:numId w:val="0"/>
        </w:numPr>
        <w:suppressLineNumbers w:val="0"/>
        <w:ind w:left="3"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b w:val="0"/>
          <w:bCs w:val="0"/>
          <w:sz w:val="30"/>
          <w:szCs w:val="30"/>
          <w:lang w:val="en-US" w:eastAsia="zh-CN"/>
        </w:rPr>
        <w:t>预算</w:t>
      </w:r>
      <w:r>
        <w:rPr>
          <w:rFonts w:hint="eastAsia" w:ascii="仿宋" w:hAnsi="仿宋" w:eastAsia="仿宋" w:cs="仿宋"/>
          <w:b w:val="0"/>
          <w:bCs w:val="0"/>
          <w:sz w:val="32"/>
          <w:szCs w:val="32"/>
          <w:lang w:val="en-US" w:eastAsia="zh-CN"/>
        </w:rPr>
        <w:t>评审程序：纳入评审范围的项目，</w:t>
      </w:r>
      <w:r>
        <w:rPr>
          <w:rFonts w:hint="eastAsia" w:ascii="仿宋" w:hAnsi="仿宋" w:eastAsia="仿宋" w:cs="仿宋"/>
          <w:b w:val="0"/>
          <w:bCs w:val="0"/>
          <w:sz w:val="30"/>
          <w:szCs w:val="30"/>
          <w:lang w:val="en-US" w:eastAsia="zh-CN"/>
        </w:rPr>
        <w:t>建设单位应在施工图设计审查完毕后</w:t>
      </w:r>
      <w:r>
        <w:rPr>
          <w:rFonts w:hint="eastAsia" w:ascii="仿宋" w:hAnsi="仿宋" w:eastAsia="仿宋" w:cs="仿宋"/>
          <w:b w:val="0"/>
          <w:bCs w:val="0"/>
          <w:sz w:val="32"/>
          <w:szCs w:val="32"/>
          <w:lang w:val="en-US" w:eastAsia="zh-CN"/>
        </w:rPr>
        <w:t>，按照前述程序及时向财政部门报送相关资料，对于符合评审条件的项目，财政部门应及时制定实施方案并组织相关单位编审，</w:t>
      </w:r>
      <w:r>
        <w:rPr>
          <w:rFonts w:hint="eastAsia" w:ascii="仿宋" w:hAnsi="仿宋" w:eastAsia="仿宋" w:cs="仿宋"/>
          <w:b w:val="0"/>
          <w:bCs w:val="0"/>
          <w:sz w:val="30"/>
          <w:szCs w:val="30"/>
          <w:lang w:val="en-US" w:eastAsia="zh-CN"/>
        </w:rPr>
        <w:t>报分管领导和主要领导同意后出具评审意见。</w:t>
      </w:r>
      <w:r>
        <w:rPr>
          <w:rFonts w:hint="eastAsia" w:ascii="仿宋" w:hAnsi="仿宋" w:eastAsia="仿宋" w:cs="仿宋"/>
          <w:b w:val="0"/>
          <w:bCs w:val="0"/>
          <w:sz w:val="32"/>
          <w:szCs w:val="32"/>
          <w:lang w:val="en-US" w:eastAsia="zh-CN"/>
        </w:rPr>
        <w:t>财政</w:t>
      </w:r>
      <w:r>
        <w:rPr>
          <w:rFonts w:hint="eastAsia" w:ascii="仿宋" w:hAnsi="仿宋" w:eastAsia="仿宋" w:cs="仿宋"/>
          <w:color w:val="auto"/>
          <w:sz w:val="32"/>
          <w:szCs w:val="32"/>
        </w:rPr>
        <w:t>部门出具的评审结论，</w:t>
      </w:r>
      <w:r>
        <w:rPr>
          <w:rFonts w:hint="eastAsia" w:ascii="仿宋" w:hAnsi="仿宋" w:eastAsia="仿宋" w:cs="仿宋"/>
          <w:color w:val="auto"/>
          <w:sz w:val="32"/>
          <w:szCs w:val="32"/>
          <w:lang w:val="en-US" w:eastAsia="zh-CN"/>
        </w:rPr>
        <w:t>是建设</w:t>
      </w:r>
      <w:r>
        <w:rPr>
          <w:rFonts w:hint="eastAsia" w:ascii="仿宋" w:hAnsi="仿宋" w:eastAsia="仿宋" w:cs="仿宋"/>
          <w:sz w:val="32"/>
          <w:szCs w:val="32"/>
          <w:lang w:val="en-US" w:eastAsia="zh-CN"/>
        </w:rPr>
        <w:t>单位招投标、签订工程合同的</w:t>
      </w:r>
      <w:r>
        <w:rPr>
          <w:rFonts w:hint="eastAsia" w:ascii="仿宋" w:hAnsi="仿宋" w:eastAsia="仿宋" w:cs="仿宋"/>
          <w:color w:val="auto"/>
          <w:sz w:val="32"/>
          <w:szCs w:val="32"/>
        </w:rPr>
        <w:t>重要</w:t>
      </w:r>
      <w:r>
        <w:rPr>
          <w:rFonts w:hint="eastAsia" w:ascii="仿宋" w:hAnsi="仿宋" w:eastAsia="仿宋" w:cs="仿宋"/>
          <w:sz w:val="32"/>
          <w:szCs w:val="32"/>
          <w:lang w:val="en-US" w:eastAsia="zh-CN"/>
        </w:rPr>
        <w:t>依据。</w:t>
      </w:r>
    </w:p>
    <w:p>
      <w:pPr>
        <w:keepNext w:val="0"/>
        <w:keepLines w:val="0"/>
        <w:widowControl/>
        <w:numPr>
          <w:ilvl w:val="0"/>
          <w:numId w:val="0"/>
        </w:numPr>
        <w:suppressLineNumbers w:val="0"/>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竣工结算评审程序：</w:t>
      </w:r>
      <w:r>
        <w:rPr>
          <w:rFonts w:hint="eastAsia" w:ascii="仿宋" w:hAnsi="仿宋" w:eastAsia="仿宋" w:cs="仿宋"/>
          <w:b w:val="0"/>
          <w:bCs w:val="0"/>
          <w:sz w:val="30"/>
          <w:szCs w:val="30"/>
          <w:lang w:val="en-US" w:eastAsia="zh-CN"/>
        </w:rPr>
        <w:t>建设单位应在项目竣工完成后，通知施工单位编报竣工结算报告</w:t>
      </w:r>
      <w:r>
        <w:rPr>
          <w:rFonts w:hint="eastAsia" w:ascii="仿宋" w:hAnsi="仿宋" w:eastAsia="仿宋" w:cs="仿宋"/>
          <w:b w:val="0"/>
          <w:bCs w:val="0"/>
          <w:sz w:val="32"/>
          <w:szCs w:val="32"/>
          <w:lang w:val="en-US" w:eastAsia="zh-CN"/>
        </w:rPr>
        <w:t>，经与监理单位共同审查确定后，按照规定程序报财政部门评审。</w:t>
      </w:r>
      <w:r>
        <w:rPr>
          <w:rFonts w:hint="eastAsia" w:ascii="仿宋" w:hAnsi="仿宋" w:eastAsia="仿宋" w:cs="仿宋"/>
          <w:b w:val="0"/>
          <w:bCs w:val="0"/>
          <w:sz w:val="30"/>
          <w:szCs w:val="30"/>
          <w:lang w:val="en-US" w:eastAsia="zh-CN"/>
        </w:rPr>
        <w:t>财政部门</w:t>
      </w:r>
      <w:r>
        <w:rPr>
          <w:rFonts w:hint="eastAsia" w:ascii="仿宋" w:hAnsi="仿宋" w:eastAsia="仿宋" w:cs="仿宋"/>
          <w:b w:val="0"/>
          <w:bCs w:val="0"/>
          <w:sz w:val="32"/>
          <w:szCs w:val="32"/>
          <w:lang w:val="en-US" w:eastAsia="zh-CN"/>
        </w:rPr>
        <w:t>应对报送资料进行初步审查，对于具备评审条件的项目，</w:t>
      </w:r>
      <w:r>
        <w:rPr>
          <w:rFonts w:hint="eastAsia" w:ascii="仿宋" w:hAnsi="仿宋" w:eastAsia="仿宋" w:cs="仿宋"/>
          <w:b w:val="0"/>
          <w:bCs w:val="0"/>
          <w:sz w:val="30"/>
          <w:szCs w:val="30"/>
          <w:lang w:val="en-US" w:eastAsia="zh-CN"/>
        </w:rPr>
        <w:t>及时制定工作实施方案</w:t>
      </w:r>
      <w:r>
        <w:rPr>
          <w:rFonts w:hint="eastAsia" w:ascii="仿宋" w:hAnsi="仿宋" w:eastAsia="仿宋" w:cs="仿宋"/>
          <w:b w:val="0"/>
          <w:bCs w:val="0"/>
          <w:sz w:val="32"/>
          <w:szCs w:val="32"/>
          <w:lang w:val="en-US" w:eastAsia="zh-CN"/>
        </w:rPr>
        <w:t>并组织相关单位审核，</w:t>
      </w:r>
      <w:r>
        <w:rPr>
          <w:rFonts w:hint="eastAsia" w:ascii="仿宋" w:hAnsi="仿宋" w:eastAsia="仿宋" w:cs="仿宋"/>
          <w:b w:val="0"/>
          <w:bCs w:val="0"/>
          <w:sz w:val="30"/>
          <w:szCs w:val="30"/>
          <w:lang w:val="en-US" w:eastAsia="zh-CN"/>
        </w:rPr>
        <w:t>报分管领导和主要领导同意后出具评审意见。财政部门批复意见是财政加强支出管理、审批竣工财务决算等事项的重要依据</w:t>
      </w:r>
      <w:r>
        <w:rPr>
          <w:rFonts w:hint="eastAsia" w:ascii="仿宋" w:hAnsi="仿宋" w:eastAsia="仿宋" w:cs="仿宋"/>
          <w:b w:val="0"/>
          <w:bCs w:val="0"/>
          <w:color w:val="auto"/>
          <w:sz w:val="32"/>
          <w:szCs w:val="32"/>
          <w:lang w:eastAsia="zh-CN"/>
        </w:rPr>
        <w:t>。</w:t>
      </w:r>
    </w:p>
    <w:p>
      <w:pPr>
        <w:keepNext w:val="0"/>
        <w:keepLines w:val="0"/>
        <w:widowControl/>
        <w:numPr>
          <w:ilvl w:val="0"/>
          <w:numId w:val="0"/>
        </w:numPr>
        <w:suppressLineNumbers w:val="0"/>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第十八条</w:t>
      </w:r>
      <w:r>
        <w:rPr>
          <w:rFonts w:hint="eastAsia" w:ascii="仿宋" w:hAnsi="仿宋" w:eastAsia="仿宋" w:cs="仿宋"/>
          <w:sz w:val="32"/>
          <w:szCs w:val="32"/>
          <w:lang w:val="en-US" w:eastAsia="zh-CN"/>
        </w:rPr>
        <w:t xml:space="preserve"> 评审报告的主要内容有：项目概况、评审依据、评审范围、评审内容、评审结论、评审增减情况及其他需要说明的问题。</w:t>
      </w:r>
    </w:p>
    <w:p>
      <w:pPr>
        <w:keepNext w:val="0"/>
        <w:keepLines w:val="0"/>
        <w:widowControl/>
        <w:numPr>
          <w:ilvl w:val="0"/>
          <w:numId w:val="0"/>
        </w:numPr>
        <w:suppressLineNumbers w:val="0"/>
        <w:ind w:firstLine="643" w:firstLineChars="200"/>
        <w:jc w:val="both"/>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第十九条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财政部门应按项目类别、结构、投资额、复杂程度等不同情况确定工作完成时限。</w:t>
      </w:r>
      <w:r>
        <w:rPr>
          <w:rFonts w:hint="eastAsia" w:ascii="仿宋" w:hAnsi="仿宋" w:eastAsia="仿宋" w:cs="仿宋"/>
          <w:b w:val="0"/>
          <w:bCs w:val="0"/>
          <w:sz w:val="30"/>
          <w:szCs w:val="30"/>
          <w:lang w:val="en-US" w:eastAsia="zh-CN"/>
        </w:rPr>
        <w:t>一般应在20个工作日内完成预算评审、40个工作日内完成结算项目评审，特殊项目评审时限一事一定</w:t>
      </w:r>
      <w:r>
        <w:rPr>
          <w:rFonts w:hint="eastAsia" w:ascii="仿宋" w:hAnsi="仿宋" w:eastAsia="仿宋" w:cs="仿宋"/>
          <w:b w:val="0"/>
          <w:bCs w:val="0"/>
          <w:sz w:val="32"/>
          <w:szCs w:val="32"/>
          <w:lang w:val="en-US" w:eastAsia="zh-CN"/>
        </w:rPr>
        <w:t>。以上时限均从建设单位送交评审所需完整资料的时间计起，对于</w:t>
      </w:r>
      <w:r>
        <w:rPr>
          <w:rFonts w:hint="eastAsia" w:ascii="仿宋" w:hAnsi="仿宋" w:eastAsia="仿宋" w:cs="仿宋"/>
          <w:b w:val="0"/>
          <w:bCs w:val="0"/>
          <w:sz w:val="30"/>
          <w:szCs w:val="30"/>
          <w:lang w:val="en-US" w:eastAsia="zh-CN"/>
        </w:rPr>
        <w:t>因建设单位、施工单位原因影响评审的结算项目，财政部门可在评审报告中予以说明</w:t>
      </w:r>
      <w:r>
        <w:rPr>
          <w:rFonts w:hint="eastAsia" w:ascii="仿宋" w:hAnsi="仿宋" w:eastAsia="仿宋" w:cs="仿宋"/>
          <w:b w:val="0"/>
          <w:bCs w:val="0"/>
          <w:sz w:val="32"/>
          <w:szCs w:val="32"/>
          <w:lang w:val="en-US" w:eastAsia="zh-CN"/>
        </w:rPr>
        <w:t>。</w:t>
      </w:r>
    </w:p>
    <w:p>
      <w:pPr>
        <w:keepNext w:val="0"/>
        <w:keepLines w:val="0"/>
        <w:widowControl/>
        <w:numPr>
          <w:ilvl w:val="0"/>
          <w:numId w:val="0"/>
        </w:numPr>
        <w:suppressLineNumbers w:val="0"/>
        <w:ind w:firstLine="643" w:firstLineChars="200"/>
        <w:jc w:val="both"/>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第二十条</w:t>
      </w:r>
      <w:r>
        <w:rPr>
          <w:rFonts w:hint="eastAsia" w:ascii="仿宋" w:hAnsi="仿宋" w:eastAsia="仿宋" w:cs="仿宋"/>
          <w:sz w:val="32"/>
          <w:szCs w:val="32"/>
          <w:lang w:val="en-US" w:eastAsia="zh-CN"/>
        </w:rPr>
        <w:t xml:space="preserve"> 财政部门应及时整理评审工作底稿、附件、核对取证记录和相关资料，对评审数据和项目资料进行电子化处理，按照要求进行归档管理，</w:t>
      </w:r>
      <w:r>
        <w:rPr>
          <w:rFonts w:hint="eastAsia" w:ascii="仿宋" w:hAnsi="仿宋" w:eastAsia="仿宋" w:cs="仿宋"/>
          <w:b w:val="0"/>
          <w:bCs w:val="0"/>
          <w:sz w:val="30"/>
          <w:szCs w:val="30"/>
          <w:lang w:val="en-US" w:eastAsia="zh-CN"/>
        </w:rPr>
        <w:t>项目档案保存期限为10年</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特殊项目的保管时限按有关规定执行。</w:t>
      </w:r>
    </w:p>
    <w:p>
      <w:pPr>
        <w:numPr>
          <w:ilvl w:val="0"/>
          <w:numId w:val="0"/>
        </w:numPr>
        <w:jc w:val="center"/>
        <w:rPr>
          <w:rFonts w:hint="eastAsia" w:ascii="黑体" w:hAnsi="黑体" w:eastAsia="黑体" w:cs="黑体"/>
          <w:b/>
          <w:bCs/>
          <w:sz w:val="32"/>
          <w:szCs w:val="32"/>
          <w:lang w:val="en-US" w:eastAsia="zh-CN"/>
        </w:rPr>
      </w:pPr>
    </w:p>
    <w:p>
      <w:pPr>
        <w:numPr>
          <w:ilvl w:val="0"/>
          <w:numId w:val="0"/>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第六章  财政评审的质量控制</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第二十一条</w:t>
      </w:r>
      <w:r>
        <w:rPr>
          <w:rFonts w:hint="eastAsia" w:ascii="仿宋" w:hAnsi="仿宋" w:eastAsia="仿宋" w:cs="仿宋"/>
          <w:sz w:val="32"/>
          <w:szCs w:val="32"/>
          <w:lang w:val="en-US" w:eastAsia="zh-CN"/>
        </w:rPr>
        <w:t xml:space="preserve"> 财政评审的质量控制包括人员要求、稽核复查、报告质量控制、对中介机构的管理等。</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第二十二条</w:t>
      </w:r>
      <w:r>
        <w:rPr>
          <w:rFonts w:hint="eastAsia" w:ascii="仿宋" w:hAnsi="仿宋" w:eastAsia="仿宋" w:cs="仿宋"/>
          <w:sz w:val="32"/>
          <w:szCs w:val="32"/>
          <w:lang w:val="en-US" w:eastAsia="zh-CN"/>
        </w:rPr>
        <w:t xml:space="preserve"> 财政部门应根据项目的不同特点组织专业评审人员。评审人员应严格遵守国家法律法规和制度规定，客观公正、廉洁自律，确保评审结论准确公正。</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第二十三条</w:t>
      </w:r>
      <w:r>
        <w:rPr>
          <w:rFonts w:hint="eastAsia" w:ascii="仿宋" w:hAnsi="仿宋" w:eastAsia="仿宋" w:cs="仿宋"/>
          <w:sz w:val="32"/>
          <w:szCs w:val="32"/>
          <w:lang w:val="en-US" w:eastAsia="zh-CN"/>
        </w:rPr>
        <w:t xml:space="preserve"> 财政部门应建立内部控制制度，加强关键控制环节和关键控制点的管理。对项目的受理、初审、踏勘、复审、稽核、审签、批复等环节分项控制，对评审结论进行抽项测评。</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第二十四条</w:t>
      </w:r>
      <w:r>
        <w:rPr>
          <w:rFonts w:hint="eastAsia" w:ascii="仿宋" w:hAnsi="仿宋" w:eastAsia="仿宋" w:cs="仿宋"/>
          <w:sz w:val="32"/>
          <w:szCs w:val="32"/>
          <w:lang w:val="en-US" w:eastAsia="zh-CN"/>
        </w:rPr>
        <w:t xml:space="preserve"> 财政部门应加强对受托中介机构的管理，结合内控制度，重点对中介机构的服务质量、技术实力、工作经验、业务能力、信用记录等制定科学的考评细则，综合评价工作绩效。</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第二十五条</w:t>
      </w:r>
      <w:r>
        <w:rPr>
          <w:rFonts w:hint="eastAsia" w:ascii="仿宋" w:hAnsi="仿宋" w:eastAsia="仿宋" w:cs="仿宋"/>
          <w:sz w:val="32"/>
          <w:szCs w:val="32"/>
          <w:lang w:val="en-US" w:eastAsia="zh-CN"/>
        </w:rPr>
        <w:t xml:space="preserve"> 财政部门应加强对评审项目的综合绩效评价管理，研究制定科学的评价指标，重点选取重大、有影响力的项目开展综合绩效评价，评价结果将反馈运用到综合财政管理。</w:t>
      </w:r>
    </w:p>
    <w:p>
      <w:pPr>
        <w:numPr>
          <w:ilvl w:val="0"/>
          <w:numId w:val="0"/>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第七章  监督管理</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 w:hAnsi="仿宋" w:eastAsia="仿宋" w:cs="仿宋"/>
          <w:sz w:val="32"/>
          <w:szCs w:val="32"/>
          <w:lang w:val="en-US" w:eastAsia="zh-CN"/>
        </w:rPr>
        <w:t>财政部门应严格执行国家各项政策法规和制度规定，切实节约政府投资，提高财政资金使用效益。</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第二十七条</w:t>
      </w:r>
      <w:r>
        <w:rPr>
          <w:rFonts w:hint="eastAsia" w:ascii="仿宋" w:hAnsi="仿宋" w:eastAsia="仿宋" w:cs="仿宋"/>
          <w:sz w:val="32"/>
          <w:szCs w:val="32"/>
          <w:lang w:val="en-US" w:eastAsia="zh-CN"/>
        </w:rPr>
        <w:t xml:space="preserve"> 财政部门、建设单位及纪检监察工委应各司其职，结合部门职责加强对政府投资项目的管理。建设单位应切实履行主体责任，按照相关程序和批复意见实施管理项目，配合财政部门做好评审工作；纪检监察工委应加强对建设工程领域违法违纪行为的查处；审计部门应加强审计监督管理，建立监督管理机制；财政部门应完善政府投资项目财政评审的管理制度体系，探索项目支出标准体系建设，加强对中介机构的动态管理和考评，不断提升评审质量。</w:t>
      </w:r>
    </w:p>
    <w:p>
      <w:pPr>
        <w:spacing w:line="360" w:lineRule="auto"/>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第二十八条</w:t>
      </w:r>
      <w:r>
        <w:rPr>
          <w:rFonts w:hint="eastAsia" w:ascii="仿宋" w:hAnsi="仿宋" w:eastAsia="仿宋" w:cs="仿宋"/>
          <w:sz w:val="32"/>
          <w:szCs w:val="32"/>
          <w:lang w:val="en-US" w:eastAsia="zh-CN"/>
        </w:rPr>
        <w:t xml:space="preserve"> 对在财政投资评审工作中存在违反财政法规行为的单位和个人，按照国务院《财政违法行为处罚处分条例》予以处理。</w:t>
      </w:r>
    </w:p>
    <w:p>
      <w:pPr>
        <w:numPr>
          <w:ilvl w:val="0"/>
          <w:numId w:val="0"/>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第八章  附 则</w:t>
      </w:r>
    </w:p>
    <w:p>
      <w:pPr>
        <w:spacing w:line="360" w:lineRule="auto"/>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第二十九条</w:t>
      </w:r>
      <w:r>
        <w:rPr>
          <w:rFonts w:hint="eastAsia" w:ascii="仿宋" w:hAnsi="仿宋" w:eastAsia="仿宋" w:cs="仿宋"/>
          <w:sz w:val="32"/>
          <w:szCs w:val="32"/>
          <w:lang w:val="en-US" w:eastAsia="zh-CN"/>
        </w:rPr>
        <w:t xml:space="preserve"> 本办法由财政部门负责解释。 </w:t>
      </w:r>
    </w:p>
    <w:p>
      <w:pPr>
        <w:spacing w:line="360" w:lineRule="auto"/>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第三十条</w:t>
      </w:r>
      <w:r>
        <w:rPr>
          <w:rFonts w:hint="eastAsia" w:ascii="仿宋" w:hAnsi="仿宋" w:eastAsia="仿宋" w:cs="仿宋"/>
          <w:sz w:val="32"/>
          <w:szCs w:val="32"/>
          <w:lang w:val="en-US" w:eastAsia="zh-CN"/>
        </w:rPr>
        <w:t xml:space="preserve"> 本办法自印发之日起实行，凡以前有关规定与本办法不一致的，以本办法为准。</w:t>
      </w:r>
    </w:p>
    <w:p>
      <w:pPr>
        <w:keepNext w:val="0"/>
        <w:keepLines w:val="0"/>
        <w:widowControl/>
        <w:numPr>
          <w:ilvl w:val="0"/>
          <w:numId w:val="0"/>
        </w:numPr>
        <w:suppressLineNumbers w:val="0"/>
        <w:ind w:firstLine="600" w:firstLineChars="200"/>
        <w:jc w:val="both"/>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w:t>
      </w: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sz w:val="30"/>
          <w:szCs w:val="30"/>
          <w:lang w:val="en-US" w:eastAsia="zh-CN"/>
        </w:rPr>
      </w:pPr>
    </w:p>
    <w:p>
      <w:pPr>
        <w:keepNext w:val="0"/>
        <w:keepLines w:val="0"/>
        <w:widowControl/>
        <w:numPr>
          <w:ilvl w:val="0"/>
          <w:numId w:val="0"/>
        </w:numPr>
        <w:suppressLineNumbers w:val="0"/>
        <w:ind w:right="105" w:rightChars="50"/>
        <w:jc w:val="both"/>
        <w:rPr>
          <w:rFonts w:hint="default" w:asciiTheme="minorEastAsia" w:hAnsiTheme="minorEastAsia" w:cstheme="minorEastAsia"/>
          <w:color w:val="000000" w:themeColor="text1"/>
          <w:sz w:val="30"/>
          <w:szCs w:val="30"/>
          <w:lang w:val="en-US" w:eastAsia="zh-CN"/>
          <w14:textFill>
            <w14:solidFill>
              <w14:schemeClr w14:val="tx1"/>
            </w14:solidFill>
          </w14:textFill>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Microsoft JhengHei UI">
    <w:altName w:val="Microsoft JhengHei"/>
    <w:panose1 w:val="020B0604030504040204"/>
    <w:charset w:val="88"/>
    <w:family w:val="auto"/>
    <w:pitch w:val="default"/>
    <w:sig w:usb0="00000000" w:usb1="00000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Microsoft JhengHei">
    <w:panose1 w:val="020B060403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HiddenHorzOCR">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53950"/>
    <w:rsid w:val="00150CBF"/>
    <w:rsid w:val="0030059F"/>
    <w:rsid w:val="004B6D1B"/>
    <w:rsid w:val="00515E3E"/>
    <w:rsid w:val="01077932"/>
    <w:rsid w:val="01954640"/>
    <w:rsid w:val="027645F6"/>
    <w:rsid w:val="02977D79"/>
    <w:rsid w:val="02A038E6"/>
    <w:rsid w:val="032D4FC4"/>
    <w:rsid w:val="03C70D2B"/>
    <w:rsid w:val="04871A44"/>
    <w:rsid w:val="049429F6"/>
    <w:rsid w:val="04E867AA"/>
    <w:rsid w:val="05000DA4"/>
    <w:rsid w:val="06282417"/>
    <w:rsid w:val="07B13DEC"/>
    <w:rsid w:val="07FB3A11"/>
    <w:rsid w:val="0820358D"/>
    <w:rsid w:val="087E1E72"/>
    <w:rsid w:val="09757B21"/>
    <w:rsid w:val="097C497B"/>
    <w:rsid w:val="09963F71"/>
    <w:rsid w:val="0A1D108F"/>
    <w:rsid w:val="0A826CF4"/>
    <w:rsid w:val="0BA17031"/>
    <w:rsid w:val="0C097622"/>
    <w:rsid w:val="0C0D08E8"/>
    <w:rsid w:val="0C5128CE"/>
    <w:rsid w:val="0CAC1561"/>
    <w:rsid w:val="0CB44982"/>
    <w:rsid w:val="0CF4694F"/>
    <w:rsid w:val="0CFA3D89"/>
    <w:rsid w:val="0D193620"/>
    <w:rsid w:val="0D5D1DCD"/>
    <w:rsid w:val="0D7E3AC2"/>
    <w:rsid w:val="0DA141B1"/>
    <w:rsid w:val="0E401311"/>
    <w:rsid w:val="0E4B3875"/>
    <w:rsid w:val="0E5C6529"/>
    <w:rsid w:val="0ECB1BDB"/>
    <w:rsid w:val="0ECC014F"/>
    <w:rsid w:val="0F781652"/>
    <w:rsid w:val="0F8E7330"/>
    <w:rsid w:val="0FF6413B"/>
    <w:rsid w:val="1021532D"/>
    <w:rsid w:val="10683820"/>
    <w:rsid w:val="112B3F38"/>
    <w:rsid w:val="118F67CC"/>
    <w:rsid w:val="11F26C16"/>
    <w:rsid w:val="11F857F0"/>
    <w:rsid w:val="12AF4D75"/>
    <w:rsid w:val="12C23572"/>
    <w:rsid w:val="12EA74CE"/>
    <w:rsid w:val="12FB49ED"/>
    <w:rsid w:val="13343A0A"/>
    <w:rsid w:val="140C283D"/>
    <w:rsid w:val="14557701"/>
    <w:rsid w:val="14D43FFD"/>
    <w:rsid w:val="15D14AB6"/>
    <w:rsid w:val="15F150A9"/>
    <w:rsid w:val="15FC0E76"/>
    <w:rsid w:val="1640016B"/>
    <w:rsid w:val="16883440"/>
    <w:rsid w:val="16956F86"/>
    <w:rsid w:val="16B6621D"/>
    <w:rsid w:val="16C50188"/>
    <w:rsid w:val="16F442A5"/>
    <w:rsid w:val="1782309E"/>
    <w:rsid w:val="18187512"/>
    <w:rsid w:val="182749AA"/>
    <w:rsid w:val="18D13C3F"/>
    <w:rsid w:val="19602645"/>
    <w:rsid w:val="198C258F"/>
    <w:rsid w:val="1A127350"/>
    <w:rsid w:val="1AD55B4B"/>
    <w:rsid w:val="1BB7259F"/>
    <w:rsid w:val="1C2B7019"/>
    <w:rsid w:val="1C9B76D5"/>
    <w:rsid w:val="1CBB22B1"/>
    <w:rsid w:val="1CDD3804"/>
    <w:rsid w:val="1D4D265F"/>
    <w:rsid w:val="1D624A6B"/>
    <w:rsid w:val="1DFA2D62"/>
    <w:rsid w:val="1E1D2304"/>
    <w:rsid w:val="1E816EC5"/>
    <w:rsid w:val="1EAC25A1"/>
    <w:rsid w:val="1EC33F3C"/>
    <w:rsid w:val="1EC85E09"/>
    <w:rsid w:val="1EF26315"/>
    <w:rsid w:val="1F542410"/>
    <w:rsid w:val="1F5D02E8"/>
    <w:rsid w:val="1FA05E01"/>
    <w:rsid w:val="20027703"/>
    <w:rsid w:val="20057F3C"/>
    <w:rsid w:val="20B82753"/>
    <w:rsid w:val="20EC7634"/>
    <w:rsid w:val="214652A5"/>
    <w:rsid w:val="2158102E"/>
    <w:rsid w:val="21A95838"/>
    <w:rsid w:val="21BD3640"/>
    <w:rsid w:val="228C5EBC"/>
    <w:rsid w:val="22D00B87"/>
    <w:rsid w:val="22F17F56"/>
    <w:rsid w:val="230B6953"/>
    <w:rsid w:val="23AB7921"/>
    <w:rsid w:val="240306B8"/>
    <w:rsid w:val="24265256"/>
    <w:rsid w:val="243C1889"/>
    <w:rsid w:val="24CC2B59"/>
    <w:rsid w:val="252F3268"/>
    <w:rsid w:val="255F195E"/>
    <w:rsid w:val="26482D09"/>
    <w:rsid w:val="265E4216"/>
    <w:rsid w:val="26BC7BCA"/>
    <w:rsid w:val="27097D97"/>
    <w:rsid w:val="274F5D72"/>
    <w:rsid w:val="27883386"/>
    <w:rsid w:val="27C754AA"/>
    <w:rsid w:val="28340EBD"/>
    <w:rsid w:val="286C57DB"/>
    <w:rsid w:val="28A00F94"/>
    <w:rsid w:val="28E242F1"/>
    <w:rsid w:val="29123CEA"/>
    <w:rsid w:val="292E38C3"/>
    <w:rsid w:val="2958545E"/>
    <w:rsid w:val="29E36CD7"/>
    <w:rsid w:val="2A497B4D"/>
    <w:rsid w:val="2A8D7A9A"/>
    <w:rsid w:val="2ADE7334"/>
    <w:rsid w:val="2BFA1F49"/>
    <w:rsid w:val="2C0135FB"/>
    <w:rsid w:val="2C522EAF"/>
    <w:rsid w:val="2C965369"/>
    <w:rsid w:val="2CBB15FC"/>
    <w:rsid w:val="2DFD6380"/>
    <w:rsid w:val="2E826D51"/>
    <w:rsid w:val="2F06084D"/>
    <w:rsid w:val="2F5D5658"/>
    <w:rsid w:val="2F611075"/>
    <w:rsid w:val="2FA116E0"/>
    <w:rsid w:val="2FCB74D8"/>
    <w:rsid w:val="2FDC6F5E"/>
    <w:rsid w:val="306D309F"/>
    <w:rsid w:val="309E3D9B"/>
    <w:rsid w:val="311E368E"/>
    <w:rsid w:val="316B1C89"/>
    <w:rsid w:val="32AD788E"/>
    <w:rsid w:val="32BF6464"/>
    <w:rsid w:val="33B16B75"/>
    <w:rsid w:val="34105ABB"/>
    <w:rsid w:val="35571FA7"/>
    <w:rsid w:val="358D6690"/>
    <w:rsid w:val="359B0028"/>
    <w:rsid w:val="35BB0D26"/>
    <w:rsid w:val="35E4314F"/>
    <w:rsid w:val="363F0E99"/>
    <w:rsid w:val="365A1CEA"/>
    <w:rsid w:val="36EA7A54"/>
    <w:rsid w:val="377946F4"/>
    <w:rsid w:val="37A3467F"/>
    <w:rsid w:val="38725E19"/>
    <w:rsid w:val="38751222"/>
    <w:rsid w:val="38C61A80"/>
    <w:rsid w:val="38DC6FEA"/>
    <w:rsid w:val="38F83B3F"/>
    <w:rsid w:val="39EE085C"/>
    <w:rsid w:val="39F526BC"/>
    <w:rsid w:val="3B486BAA"/>
    <w:rsid w:val="3B7061E3"/>
    <w:rsid w:val="3C7D3BCB"/>
    <w:rsid w:val="3CA44DDE"/>
    <w:rsid w:val="3CEC4D1B"/>
    <w:rsid w:val="3E83234D"/>
    <w:rsid w:val="3EAB6E6B"/>
    <w:rsid w:val="3EAD18D6"/>
    <w:rsid w:val="3F1D52FD"/>
    <w:rsid w:val="3FF821F0"/>
    <w:rsid w:val="40780522"/>
    <w:rsid w:val="41A75190"/>
    <w:rsid w:val="41FD6B38"/>
    <w:rsid w:val="422037C3"/>
    <w:rsid w:val="4319617F"/>
    <w:rsid w:val="43711E45"/>
    <w:rsid w:val="4398318E"/>
    <w:rsid w:val="441D081E"/>
    <w:rsid w:val="44376EE3"/>
    <w:rsid w:val="448F7C3D"/>
    <w:rsid w:val="44CA637E"/>
    <w:rsid w:val="44CD68B4"/>
    <w:rsid w:val="4516702E"/>
    <w:rsid w:val="453B527C"/>
    <w:rsid w:val="4629403D"/>
    <w:rsid w:val="46AD638D"/>
    <w:rsid w:val="47326717"/>
    <w:rsid w:val="47840827"/>
    <w:rsid w:val="47F577BA"/>
    <w:rsid w:val="48290D76"/>
    <w:rsid w:val="48900167"/>
    <w:rsid w:val="492416FA"/>
    <w:rsid w:val="49483D47"/>
    <w:rsid w:val="4A110304"/>
    <w:rsid w:val="4A47381A"/>
    <w:rsid w:val="4A650155"/>
    <w:rsid w:val="4A76371F"/>
    <w:rsid w:val="4A7B3492"/>
    <w:rsid w:val="4A85167C"/>
    <w:rsid w:val="4AA50348"/>
    <w:rsid w:val="4B6F09CC"/>
    <w:rsid w:val="4BFC494B"/>
    <w:rsid w:val="4C0E5DD8"/>
    <w:rsid w:val="4C2213CC"/>
    <w:rsid w:val="4C404051"/>
    <w:rsid w:val="4C7C0577"/>
    <w:rsid w:val="4CA127F9"/>
    <w:rsid w:val="4D0A3663"/>
    <w:rsid w:val="4D8D5CA1"/>
    <w:rsid w:val="4D9275EC"/>
    <w:rsid w:val="4DD96CB1"/>
    <w:rsid w:val="4EEE6D0A"/>
    <w:rsid w:val="4F162E7F"/>
    <w:rsid w:val="4F5A7997"/>
    <w:rsid w:val="4FF4731B"/>
    <w:rsid w:val="4FFA6D45"/>
    <w:rsid w:val="503C24DA"/>
    <w:rsid w:val="508E13F8"/>
    <w:rsid w:val="509E7BF5"/>
    <w:rsid w:val="51286771"/>
    <w:rsid w:val="51B208CB"/>
    <w:rsid w:val="51EE4CCA"/>
    <w:rsid w:val="52256E18"/>
    <w:rsid w:val="524E0610"/>
    <w:rsid w:val="52566DC5"/>
    <w:rsid w:val="5293690B"/>
    <w:rsid w:val="52996CAA"/>
    <w:rsid w:val="53832941"/>
    <w:rsid w:val="54053950"/>
    <w:rsid w:val="542411C9"/>
    <w:rsid w:val="5479747A"/>
    <w:rsid w:val="550F0623"/>
    <w:rsid w:val="55F10D5F"/>
    <w:rsid w:val="568158B5"/>
    <w:rsid w:val="569144D6"/>
    <w:rsid w:val="56AE493C"/>
    <w:rsid w:val="56BC05AE"/>
    <w:rsid w:val="56CE4A87"/>
    <w:rsid w:val="56F75312"/>
    <w:rsid w:val="5764259D"/>
    <w:rsid w:val="576E0E3B"/>
    <w:rsid w:val="57C72335"/>
    <w:rsid w:val="581713F2"/>
    <w:rsid w:val="581F262F"/>
    <w:rsid w:val="5835247D"/>
    <w:rsid w:val="59CD6D48"/>
    <w:rsid w:val="59F86568"/>
    <w:rsid w:val="5A092F86"/>
    <w:rsid w:val="5A8D3559"/>
    <w:rsid w:val="5AD20F76"/>
    <w:rsid w:val="5B330A36"/>
    <w:rsid w:val="5B347C1E"/>
    <w:rsid w:val="5B5254F2"/>
    <w:rsid w:val="5B646439"/>
    <w:rsid w:val="5B720847"/>
    <w:rsid w:val="5B8D3109"/>
    <w:rsid w:val="5B9137E8"/>
    <w:rsid w:val="5BA44ECC"/>
    <w:rsid w:val="5BC21D26"/>
    <w:rsid w:val="5C4E216E"/>
    <w:rsid w:val="5CB60C53"/>
    <w:rsid w:val="5CE17592"/>
    <w:rsid w:val="5D401888"/>
    <w:rsid w:val="5D5C0ECD"/>
    <w:rsid w:val="5DB40BE1"/>
    <w:rsid w:val="5DCF5ABA"/>
    <w:rsid w:val="5E686B56"/>
    <w:rsid w:val="5EAF7EF2"/>
    <w:rsid w:val="5F1F7A34"/>
    <w:rsid w:val="5F6617CE"/>
    <w:rsid w:val="5F667230"/>
    <w:rsid w:val="5F9D0AB7"/>
    <w:rsid w:val="60002CF7"/>
    <w:rsid w:val="600E76C7"/>
    <w:rsid w:val="6013009A"/>
    <w:rsid w:val="60300270"/>
    <w:rsid w:val="60472CDA"/>
    <w:rsid w:val="60851A1E"/>
    <w:rsid w:val="60EE39DF"/>
    <w:rsid w:val="60F665C2"/>
    <w:rsid w:val="60F87400"/>
    <w:rsid w:val="612C5987"/>
    <w:rsid w:val="615E7E63"/>
    <w:rsid w:val="616E3ED4"/>
    <w:rsid w:val="61763C7A"/>
    <w:rsid w:val="62132501"/>
    <w:rsid w:val="62405D29"/>
    <w:rsid w:val="62BB6243"/>
    <w:rsid w:val="636B22EA"/>
    <w:rsid w:val="63B322F7"/>
    <w:rsid w:val="63C800FB"/>
    <w:rsid w:val="64A01E95"/>
    <w:rsid w:val="651B79E6"/>
    <w:rsid w:val="659768F1"/>
    <w:rsid w:val="661D6684"/>
    <w:rsid w:val="66427C39"/>
    <w:rsid w:val="66514E07"/>
    <w:rsid w:val="66F40BED"/>
    <w:rsid w:val="678722BA"/>
    <w:rsid w:val="67925E92"/>
    <w:rsid w:val="687C3D15"/>
    <w:rsid w:val="68D64DCA"/>
    <w:rsid w:val="69127D1A"/>
    <w:rsid w:val="692A6705"/>
    <w:rsid w:val="69972F4A"/>
    <w:rsid w:val="69BD2F67"/>
    <w:rsid w:val="69E776EC"/>
    <w:rsid w:val="6A2E24DD"/>
    <w:rsid w:val="6A40273C"/>
    <w:rsid w:val="6A5F241D"/>
    <w:rsid w:val="6ADB6F68"/>
    <w:rsid w:val="6B13259A"/>
    <w:rsid w:val="6B4D54BC"/>
    <w:rsid w:val="6B5B794F"/>
    <w:rsid w:val="6BEB1F7F"/>
    <w:rsid w:val="6C677A7E"/>
    <w:rsid w:val="6CDB44F3"/>
    <w:rsid w:val="6CE44512"/>
    <w:rsid w:val="6D047374"/>
    <w:rsid w:val="6D5901AD"/>
    <w:rsid w:val="6D796F2E"/>
    <w:rsid w:val="6DB956F2"/>
    <w:rsid w:val="6E60086E"/>
    <w:rsid w:val="6E8B7B77"/>
    <w:rsid w:val="6F077F4E"/>
    <w:rsid w:val="6F195AC2"/>
    <w:rsid w:val="6F291818"/>
    <w:rsid w:val="6F2E6C0A"/>
    <w:rsid w:val="7015503D"/>
    <w:rsid w:val="709A2B97"/>
    <w:rsid w:val="70B13B02"/>
    <w:rsid w:val="716128CC"/>
    <w:rsid w:val="71F52EA9"/>
    <w:rsid w:val="72132739"/>
    <w:rsid w:val="72447B7C"/>
    <w:rsid w:val="735D4B50"/>
    <w:rsid w:val="7403146D"/>
    <w:rsid w:val="74A6191D"/>
    <w:rsid w:val="7523349B"/>
    <w:rsid w:val="753C647D"/>
    <w:rsid w:val="76947BC2"/>
    <w:rsid w:val="76C82764"/>
    <w:rsid w:val="772452D5"/>
    <w:rsid w:val="776F51FE"/>
    <w:rsid w:val="77820AFD"/>
    <w:rsid w:val="77A47D3F"/>
    <w:rsid w:val="77E95850"/>
    <w:rsid w:val="780C5C19"/>
    <w:rsid w:val="783C4378"/>
    <w:rsid w:val="78DA1C2D"/>
    <w:rsid w:val="79D1217F"/>
    <w:rsid w:val="79D25EC5"/>
    <w:rsid w:val="7A187509"/>
    <w:rsid w:val="7ABB67AD"/>
    <w:rsid w:val="7ACD64F7"/>
    <w:rsid w:val="7B7613F6"/>
    <w:rsid w:val="7B79070C"/>
    <w:rsid w:val="7B992FF2"/>
    <w:rsid w:val="7BA35894"/>
    <w:rsid w:val="7BBE5635"/>
    <w:rsid w:val="7C5F3842"/>
    <w:rsid w:val="7CCE567B"/>
    <w:rsid w:val="7D8F0E7F"/>
    <w:rsid w:val="7E430076"/>
    <w:rsid w:val="7E440BBD"/>
    <w:rsid w:val="7E60552F"/>
    <w:rsid w:val="7E740EF9"/>
    <w:rsid w:val="7E7C3DCD"/>
    <w:rsid w:val="7ED80AB1"/>
    <w:rsid w:val="7EF8285F"/>
    <w:rsid w:val="7F1F7A31"/>
    <w:rsid w:val="7F3026A9"/>
    <w:rsid w:val="7F9C7C70"/>
    <w:rsid w:val="7FA74791"/>
    <w:rsid w:val="7FD32D6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9"/>
    <w:pPr>
      <w:keepNext/>
      <w:keepLines/>
      <w:spacing w:after="2" w:line="259" w:lineRule="auto"/>
      <w:ind w:left="10" w:right="91" w:hanging="10"/>
      <w:jc w:val="center"/>
      <w:outlineLvl w:val="1"/>
    </w:pPr>
    <w:rPr>
      <w:rFonts w:ascii="微软雅黑" w:hAnsi="微软雅黑" w:eastAsia="微软雅黑" w:cs="微软雅黑"/>
      <w:color w:val="000000"/>
      <w:kern w:val="2"/>
      <w:sz w:val="32"/>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Body text|1"/>
    <w:basedOn w:val="1"/>
    <w:qFormat/>
    <w:uiPriority w:val="0"/>
    <w:pPr>
      <w:spacing w:line="446"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2021-03-09T08:09:00Z</dcterms:created>
  <dc:creator>Administrator</dc:creator>
  <cp:lastModifiedBy>1213</cp:lastModifiedBy>
  <cp:lastPrinted>2021-04-19T09:30:00Z</cp:lastPrinted>
  <dcterms:modified xsi:type="dcterms:W3CDTF">2021-04-27T02:03:44Z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7EC08AE47E5F48058310CE2391CAB6F7</vt:lpwstr>
  </property>
</Properties>
</file>